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A437" w14:textId="603A7E68" w:rsidR="000B6BAA" w:rsidRPr="00296A4F" w:rsidRDefault="000347E9" w:rsidP="00296A4F">
      <w:pPr>
        <w:pStyle w:val="Defaul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E81DA2" wp14:editId="6404415D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904875" cy="897890"/>
            <wp:effectExtent l="0" t="0" r="9525" b="0"/>
            <wp:wrapThrough wrapText="bothSides">
              <wp:wrapPolygon edited="0">
                <wp:start x="0" y="0"/>
                <wp:lineTo x="0" y="21081"/>
                <wp:lineTo x="21373" y="21081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292F9" w14:textId="77777777" w:rsidR="008750B2" w:rsidRDefault="008750B2" w:rsidP="008750B2">
      <w:pPr>
        <w:pStyle w:val="Default"/>
        <w:rPr>
          <w:b/>
          <w:bCs/>
        </w:rPr>
      </w:pPr>
    </w:p>
    <w:p w14:paraId="7622686B" w14:textId="1F1D5AD0" w:rsidR="00296A4F" w:rsidRPr="00296A4F" w:rsidRDefault="00296A4F" w:rsidP="0093742C">
      <w:pPr>
        <w:pStyle w:val="Default"/>
        <w:ind w:firstLine="360"/>
        <w:rPr>
          <w:b/>
          <w:bCs/>
        </w:rPr>
      </w:pPr>
      <w:r w:rsidRPr="00296A4F">
        <w:rPr>
          <w:b/>
          <w:bCs/>
        </w:rPr>
        <w:t>S</w:t>
      </w:r>
      <w:r w:rsidR="00551869">
        <w:rPr>
          <w:b/>
          <w:bCs/>
        </w:rPr>
        <w:t>EXUAL HARASSMENT AND GENDER-BASED VIOLENCE</w:t>
      </w:r>
    </w:p>
    <w:p w14:paraId="1CE9AD8C" w14:textId="6B71C7C3" w:rsidR="000B6BAA" w:rsidRPr="00296A4F" w:rsidRDefault="0093742C" w:rsidP="0093742C">
      <w:pPr>
        <w:pStyle w:val="Default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="008750B2">
        <w:rPr>
          <w:b/>
          <w:bCs/>
          <w:sz w:val="26"/>
          <w:szCs w:val="26"/>
        </w:rPr>
        <w:t xml:space="preserve">n the </w:t>
      </w:r>
      <w:r w:rsidR="000B6BAA" w:rsidRPr="00296A4F">
        <w:rPr>
          <w:b/>
          <w:bCs/>
          <w:sz w:val="26"/>
          <w:szCs w:val="26"/>
        </w:rPr>
        <w:t>G</w:t>
      </w:r>
      <w:r w:rsidR="00551869">
        <w:rPr>
          <w:b/>
          <w:bCs/>
          <w:sz w:val="26"/>
          <w:szCs w:val="26"/>
        </w:rPr>
        <w:t>lobal Garment</w:t>
      </w:r>
      <w:r w:rsidR="000B6BAA" w:rsidRPr="00296A4F">
        <w:rPr>
          <w:b/>
          <w:bCs/>
          <w:sz w:val="26"/>
          <w:szCs w:val="26"/>
        </w:rPr>
        <w:t xml:space="preserve"> </w:t>
      </w:r>
      <w:r w:rsidR="008750B2">
        <w:rPr>
          <w:b/>
          <w:bCs/>
          <w:sz w:val="26"/>
          <w:szCs w:val="26"/>
        </w:rPr>
        <w:t>and</w:t>
      </w:r>
      <w:r w:rsidR="000B6BAA" w:rsidRPr="00296A4F">
        <w:rPr>
          <w:b/>
          <w:bCs/>
          <w:sz w:val="26"/>
          <w:szCs w:val="26"/>
        </w:rPr>
        <w:t xml:space="preserve"> T</w:t>
      </w:r>
      <w:r w:rsidR="008750B2">
        <w:rPr>
          <w:b/>
          <w:bCs/>
          <w:sz w:val="26"/>
          <w:szCs w:val="26"/>
        </w:rPr>
        <w:t>extile</w:t>
      </w:r>
      <w:r w:rsidR="000B6BAA" w:rsidRPr="00296A4F">
        <w:rPr>
          <w:b/>
          <w:bCs/>
          <w:sz w:val="26"/>
          <w:szCs w:val="26"/>
        </w:rPr>
        <w:t xml:space="preserve"> I</w:t>
      </w:r>
      <w:r w:rsidR="008750B2">
        <w:rPr>
          <w:b/>
          <w:bCs/>
          <w:sz w:val="26"/>
          <w:szCs w:val="26"/>
        </w:rPr>
        <w:t>ndustry</w:t>
      </w:r>
    </w:p>
    <w:p w14:paraId="495159B2" w14:textId="3D6C7073" w:rsidR="000347E9" w:rsidRDefault="00296A4F" w:rsidP="0093742C">
      <w:pPr>
        <w:pStyle w:val="Default"/>
      </w:pPr>
      <w:r>
        <w:t xml:space="preserve"> </w:t>
      </w:r>
    </w:p>
    <w:p w14:paraId="0422BF7A" w14:textId="44185AAD" w:rsidR="00492E21" w:rsidRDefault="00492E21" w:rsidP="0093742C">
      <w:pPr>
        <w:pStyle w:val="Default"/>
        <w:rPr>
          <w:sz w:val="22"/>
          <w:szCs w:val="22"/>
        </w:rPr>
      </w:pPr>
    </w:p>
    <w:p w14:paraId="755B70E4" w14:textId="059E1F99" w:rsidR="00492E21" w:rsidRPr="00712ACB" w:rsidRDefault="00492E21" w:rsidP="0093742C">
      <w:pPr>
        <w:pStyle w:val="Default"/>
        <w:rPr>
          <w:b/>
          <w:bCs/>
          <w:sz w:val="21"/>
          <w:szCs w:val="21"/>
        </w:rPr>
      </w:pPr>
      <w:r w:rsidRPr="00712ACB">
        <w:rPr>
          <w:b/>
          <w:bCs/>
          <w:sz w:val="21"/>
          <w:szCs w:val="21"/>
        </w:rPr>
        <w:t xml:space="preserve">Garment Workers Especially </w:t>
      </w:r>
      <w:r w:rsidR="00D0492F" w:rsidRPr="00712ACB">
        <w:rPr>
          <w:b/>
          <w:bCs/>
          <w:sz w:val="21"/>
          <w:szCs w:val="21"/>
        </w:rPr>
        <w:t>Vulnerable</w:t>
      </w:r>
      <w:r w:rsidRPr="00712ACB">
        <w:rPr>
          <w:b/>
          <w:bCs/>
          <w:sz w:val="21"/>
          <w:szCs w:val="21"/>
        </w:rPr>
        <w:t xml:space="preserve"> to Gender-Based Violence and Harassment</w:t>
      </w:r>
    </w:p>
    <w:p w14:paraId="327C3083" w14:textId="77777777" w:rsidR="00492E21" w:rsidRPr="00712ACB" w:rsidRDefault="00492E21" w:rsidP="0093742C">
      <w:pPr>
        <w:pStyle w:val="Default"/>
        <w:rPr>
          <w:b/>
          <w:bCs/>
          <w:sz w:val="21"/>
          <w:szCs w:val="21"/>
        </w:rPr>
      </w:pPr>
    </w:p>
    <w:p w14:paraId="5D0AF271" w14:textId="419F2FD4" w:rsidR="00FB7634" w:rsidRPr="00712ACB" w:rsidRDefault="0052581A" w:rsidP="00FB7634">
      <w:pPr>
        <w:pStyle w:val="Default"/>
        <w:numPr>
          <w:ilvl w:val="0"/>
          <w:numId w:val="1"/>
        </w:numPr>
        <w:shd w:val="clear" w:color="auto" w:fill="FFFFFF"/>
        <w:rPr>
          <w:sz w:val="21"/>
          <w:szCs w:val="21"/>
        </w:rPr>
      </w:pPr>
      <w:r w:rsidRPr="00712ACB">
        <w:rPr>
          <w:sz w:val="21"/>
          <w:szCs w:val="21"/>
        </w:rPr>
        <w:t xml:space="preserve">Gender-based violence </w:t>
      </w:r>
      <w:r w:rsidR="003E1702" w:rsidRPr="00712ACB">
        <w:rPr>
          <w:sz w:val="21"/>
          <w:szCs w:val="21"/>
        </w:rPr>
        <w:t>and harassment (GBVH) a</w:t>
      </w:r>
      <w:r w:rsidRPr="00712ACB">
        <w:rPr>
          <w:sz w:val="21"/>
          <w:szCs w:val="21"/>
        </w:rPr>
        <w:t xml:space="preserve">t work </w:t>
      </w:r>
      <w:r w:rsidR="00FB7634" w:rsidRPr="00712ACB">
        <w:rPr>
          <w:sz w:val="21"/>
          <w:szCs w:val="21"/>
        </w:rPr>
        <w:t>is violence and harassment</w:t>
      </w:r>
      <w:r w:rsidR="0069048D" w:rsidRPr="00712ACB">
        <w:rPr>
          <w:sz w:val="21"/>
          <w:szCs w:val="21"/>
        </w:rPr>
        <w:t>, including sexual harassment,</w:t>
      </w:r>
      <w:r w:rsidR="00FB7634" w:rsidRPr="00712ACB">
        <w:rPr>
          <w:sz w:val="21"/>
          <w:szCs w:val="21"/>
        </w:rPr>
        <w:t xml:space="preserve"> directed at </w:t>
      </w:r>
      <w:r w:rsidR="004A3787" w:rsidRPr="00712ACB">
        <w:rPr>
          <w:sz w:val="21"/>
          <w:szCs w:val="21"/>
        </w:rPr>
        <w:t>worker</w:t>
      </w:r>
      <w:r w:rsidR="00FB7634" w:rsidRPr="00712ACB">
        <w:rPr>
          <w:sz w:val="21"/>
          <w:szCs w:val="21"/>
        </w:rPr>
        <w:t>s because of their sex or gender</w:t>
      </w:r>
      <w:r w:rsidR="00B438E5" w:rsidRPr="00712ACB">
        <w:rPr>
          <w:sz w:val="21"/>
          <w:szCs w:val="21"/>
        </w:rPr>
        <w:t>,</w:t>
      </w:r>
      <w:r w:rsidR="00FB7634" w:rsidRPr="00712ACB">
        <w:rPr>
          <w:sz w:val="21"/>
          <w:szCs w:val="21"/>
        </w:rPr>
        <w:t xml:space="preserve"> or </w:t>
      </w:r>
      <w:r w:rsidR="0052442F" w:rsidRPr="00712ACB">
        <w:rPr>
          <w:sz w:val="21"/>
          <w:szCs w:val="21"/>
        </w:rPr>
        <w:t>disproportionately</w:t>
      </w:r>
      <w:r w:rsidR="0069048D" w:rsidRPr="00712ACB">
        <w:rPr>
          <w:sz w:val="21"/>
          <w:szCs w:val="21"/>
        </w:rPr>
        <w:t xml:space="preserve"> </w:t>
      </w:r>
      <w:r w:rsidR="00FB7634" w:rsidRPr="00712ACB">
        <w:rPr>
          <w:sz w:val="21"/>
          <w:szCs w:val="21"/>
        </w:rPr>
        <w:t>affecting pe</w:t>
      </w:r>
      <w:r w:rsidR="00724A07" w:rsidRPr="00712ACB">
        <w:rPr>
          <w:sz w:val="21"/>
          <w:szCs w:val="21"/>
        </w:rPr>
        <w:t>ople</w:t>
      </w:r>
      <w:r w:rsidR="00FB7634" w:rsidRPr="00712ACB">
        <w:rPr>
          <w:sz w:val="21"/>
          <w:szCs w:val="21"/>
        </w:rPr>
        <w:t xml:space="preserve"> of a particular sex or gender.</w:t>
      </w:r>
    </w:p>
    <w:p w14:paraId="572E67CB" w14:textId="77777777" w:rsidR="00FB7634" w:rsidRPr="00712ACB" w:rsidRDefault="00FB7634" w:rsidP="004A3787">
      <w:pPr>
        <w:pStyle w:val="Default"/>
        <w:shd w:val="clear" w:color="auto" w:fill="FFFFFF"/>
        <w:ind w:left="720"/>
        <w:rPr>
          <w:sz w:val="21"/>
          <w:szCs w:val="21"/>
        </w:rPr>
      </w:pPr>
    </w:p>
    <w:p w14:paraId="2A50B515" w14:textId="3A6D107A" w:rsidR="00FB7634" w:rsidRPr="00712ACB" w:rsidRDefault="00FB7634" w:rsidP="00FB7634">
      <w:pPr>
        <w:pStyle w:val="Default"/>
        <w:numPr>
          <w:ilvl w:val="0"/>
          <w:numId w:val="1"/>
        </w:numPr>
        <w:shd w:val="clear" w:color="auto" w:fill="FFFFFF"/>
        <w:rPr>
          <w:sz w:val="21"/>
          <w:szCs w:val="21"/>
        </w:rPr>
      </w:pPr>
      <w:r w:rsidRPr="00712ACB">
        <w:rPr>
          <w:sz w:val="21"/>
          <w:szCs w:val="21"/>
        </w:rPr>
        <w:t xml:space="preserve">Although anyone may be a </w:t>
      </w:r>
      <w:r w:rsidR="004A3787" w:rsidRPr="00712ACB">
        <w:rPr>
          <w:sz w:val="21"/>
          <w:szCs w:val="21"/>
        </w:rPr>
        <w:t>target</w:t>
      </w:r>
      <w:r w:rsidRPr="00712ACB">
        <w:rPr>
          <w:sz w:val="21"/>
          <w:szCs w:val="21"/>
        </w:rPr>
        <w:t xml:space="preserve"> of GBVH, women experience the highest rates of GBVH because of social and economic power inequalities based on gender </w:t>
      </w:r>
      <w:r w:rsidR="0052442F" w:rsidRPr="00712ACB">
        <w:rPr>
          <w:sz w:val="21"/>
          <w:szCs w:val="21"/>
        </w:rPr>
        <w:t>that</w:t>
      </w:r>
      <w:r w:rsidRPr="00712ACB">
        <w:rPr>
          <w:sz w:val="21"/>
          <w:szCs w:val="21"/>
        </w:rPr>
        <w:t xml:space="preserve"> make women, LGBTQI and other workers more vulnerable to these forms of abuse.</w:t>
      </w:r>
    </w:p>
    <w:p w14:paraId="19CC8C48" w14:textId="77777777" w:rsidR="00FB7634" w:rsidRPr="00712ACB" w:rsidRDefault="00FB7634" w:rsidP="004A3787">
      <w:pPr>
        <w:pStyle w:val="Default"/>
        <w:shd w:val="clear" w:color="auto" w:fill="FFFFFF"/>
        <w:rPr>
          <w:sz w:val="21"/>
          <w:szCs w:val="21"/>
        </w:rPr>
      </w:pPr>
    </w:p>
    <w:p w14:paraId="0CC0B376" w14:textId="6FA28E41" w:rsidR="00FB7634" w:rsidRPr="00712ACB" w:rsidRDefault="00FB7634" w:rsidP="00EE4376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rPr>
          <w:rFonts w:ascii="Century Gothic" w:eastAsia="Times New Roman" w:hAnsi="Century Gothic"/>
          <w:sz w:val="21"/>
          <w:szCs w:val="21"/>
        </w:rPr>
      </w:pPr>
      <w:r w:rsidRPr="00712ACB">
        <w:rPr>
          <w:rFonts w:ascii="Century Gothic" w:hAnsi="Century Gothic"/>
          <w:sz w:val="21"/>
          <w:szCs w:val="21"/>
        </w:rPr>
        <w:t>GBVH silences workers who are targeted and those who might speak up against it, repressing worker voice and freedom of association, and making true democracy</w:t>
      </w:r>
      <w:r w:rsidR="0052442F" w:rsidRPr="00712ACB">
        <w:rPr>
          <w:rFonts w:ascii="Century Gothic" w:hAnsi="Century Gothic"/>
          <w:sz w:val="21"/>
          <w:szCs w:val="21"/>
        </w:rPr>
        <w:t xml:space="preserve">—which is </w:t>
      </w:r>
      <w:r w:rsidRPr="00712ACB">
        <w:rPr>
          <w:rFonts w:ascii="Century Gothic" w:eastAsia="Times New Roman" w:hAnsi="Century Gothic"/>
          <w:sz w:val="21"/>
          <w:szCs w:val="21"/>
        </w:rPr>
        <w:t>inclusive and reflective of the needs and experiences of all people</w:t>
      </w:r>
      <w:r w:rsidR="0052442F" w:rsidRPr="00712ACB">
        <w:rPr>
          <w:rFonts w:ascii="Century Gothic" w:eastAsia="Times New Roman" w:hAnsi="Century Gothic"/>
          <w:sz w:val="21"/>
          <w:szCs w:val="21"/>
        </w:rPr>
        <w:t>—i</w:t>
      </w:r>
      <w:r w:rsidRPr="00712ACB">
        <w:rPr>
          <w:rFonts w:ascii="Century Gothic" w:eastAsia="Times New Roman" w:hAnsi="Century Gothic"/>
          <w:sz w:val="21"/>
          <w:szCs w:val="21"/>
        </w:rPr>
        <w:t xml:space="preserve">mpossible. </w:t>
      </w:r>
    </w:p>
    <w:p w14:paraId="26D427DB" w14:textId="77777777" w:rsidR="00FB7634" w:rsidRPr="00712ACB" w:rsidRDefault="00FB7634" w:rsidP="004A3787">
      <w:pPr>
        <w:widowControl w:val="0"/>
        <w:shd w:val="clear" w:color="auto" w:fill="FFFFFF"/>
        <w:autoSpaceDE w:val="0"/>
        <w:rPr>
          <w:rFonts w:ascii="Century Gothic" w:eastAsia="Times New Roman" w:hAnsi="Century Gothic"/>
          <w:sz w:val="21"/>
          <w:szCs w:val="21"/>
        </w:rPr>
      </w:pPr>
    </w:p>
    <w:p w14:paraId="2B0C5CFC" w14:textId="7A37C3EC" w:rsidR="00FE13FB" w:rsidRPr="00712ACB" w:rsidRDefault="006D5696" w:rsidP="003B3B04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color w:val="auto"/>
          <w:sz w:val="21"/>
          <w:szCs w:val="21"/>
        </w:rPr>
        <w:t>While sexual harassment and other forms of gender-based violence</w:t>
      </w:r>
      <w:r w:rsidR="00FB7634" w:rsidRPr="00712ACB">
        <w:rPr>
          <w:color w:val="auto"/>
          <w:sz w:val="21"/>
          <w:szCs w:val="21"/>
        </w:rPr>
        <w:t xml:space="preserve"> may</w:t>
      </w:r>
      <w:r w:rsidRPr="00712ACB">
        <w:rPr>
          <w:color w:val="auto"/>
          <w:sz w:val="21"/>
          <w:szCs w:val="21"/>
        </w:rPr>
        <w:t xml:space="preserve"> happen at any workplace, </w:t>
      </w:r>
      <w:hyperlink r:id="rId8" w:history="1">
        <w:r w:rsidRPr="00712ACB">
          <w:rPr>
            <w:rStyle w:val="Hyperlink"/>
            <w:sz w:val="21"/>
            <w:szCs w:val="21"/>
          </w:rPr>
          <w:t>GBVH is rampant in the</w:t>
        </w:r>
        <w:r w:rsidR="0052442F" w:rsidRPr="00712ACB">
          <w:rPr>
            <w:rStyle w:val="Hyperlink"/>
            <w:sz w:val="21"/>
            <w:szCs w:val="21"/>
          </w:rPr>
          <w:t xml:space="preserve"> global</w:t>
        </w:r>
        <w:r w:rsidRPr="00712ACB">
          <w:rPr>
            <w:rStyle w:val="Hyperlink"/>
            <w:sz w:val="21"/>
            <w:szCs w:val="21"/>
          </w:rPr>
          <w:t xml:space="preserve"> garment and textile industr</w:t>
        </w:r>
      </w:hyperlink>
      <w:r w:rsidR="00FB7634" w:rsidRPr="00712ACB">
        <w:rPr>
          <w:rStyle w:val="Hyperlink"/>
          <w:sz w:val="21"/>
          <w:szCs w:val="21"/>
        </w:rPr>
        <w:t>y</w:t>
      </w:r>
      <w:r w:rsidRPr="00712ACB">
        <w:rPr>
          <w:color w:val="auto"/>
          <w:sz w:val="21"/>
          <w:szCs w:val="21"/>
        </w:rPr>
        <w:t xml:space="preserve">. </w:t>
      </w:r>
      <w:r w:rsidR="000B6BAA" w:rsidRPr="00712ACB">
        <w:rPr>
          <w:color w:val="auto"/>
          <w:sz w:val="21"/>
          <w:szCs w:val="21"/>
        </w:rPr>
        <w:t>Tolerated, ignored or perpetuated by managers, it</w:t>
      </w:r>
      <w:r w:rsidR="00FB7634" w:rsidRPr="00712ACB">
        <w:rPr>
          <w:color w:val="auto"/>
          <w:sz w:val="21"/>
          <w:szCs w:val="21"/>
        </w:rPr>
        <w:t xml:space="preserve"> is one of the most effective tools of abuse to silence women workers’ voices</w:t>
      </w:r>
      <w:r w:rsidR="000B6BAA" w:rsidRPr="00712ACB">
        <w:rPr>
          <w:sz w:val="21"/>
          <w:szCs w:val="21"/>
        </w:rPr>
        <w:t>.</w:t>
      </w:r>
    </w:p>
    <w:p w14:paraId="5421A217" w14:textId="77777777" w:rsidR="00FE13FB" w:rsidRPr="00712ACB" w:rsidRDefault="00FE13FB" w:rsidP="00FE13FB">
      <w:pPr>
        <w:pStyle w:val="Default"/>
        <w:shd w:val="clear" w:color="auto" w:fill="FFFFFF"/>
        <w:ind w:left="720"/>
        <w:rPr>
          <w:rFonts w:cs="Arial"/>
          <w:color w:val="222222"/>
          <w:sz w:val="21"/>
          <w:szCs w:val="21"/>
        </w:rPr>
      </w:pPr>
    </w:p>
    <w:p w14:paraId="559945F4" w14:textId="139C831C" w:rsidR="00A455D2" w:rsidRPr="00712ACB" w:rsidRDefault="00B72865" w:rsidP="003B3B04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color w:val="222222"/>
          <w:sz w:val="21"/>
          <w:szCs w:val="21"/>
        </w:rPr>
        <w:t>Garment workers</w:t>
      </w:r>
      <w:r w:rsidR="00D06B61" w:rsidRPr="00712ACB">
        <w:rPr>
          <w:rFonts w:cs="Arial"/>
          <w:color w:val="222222"/>
          <w:sz w:val="21"/>
          <w:szCs w:val="21"/>
        </w:rPr>
        <w:t xml:space="preserve"> experience</w:t>
      </w:r>
      <w:r w:rsidRPr="00712ACB">
        <w:rPr>
          <w:rFonts w:cs="Arial"/>
          <w:color w:val="222222"/>
          <w:sz w:val="21"/>
          <w:szCs w:val="21"/>
        </w:rPr>
        <w:t xml:space="preserve"> conditions that </w:t>
      </w:r>
      <w:r w:rsidR="00D06B61" w:rsidRPr="00712ACB">
        <w:rPr>
          <w:rFonts w:cs="Arial"/>
          <w:color w:val="222222"/>
          <w:sz w:val="21"/>
          <w:szCs w:val="21"/>
        </w:rPr>
        <w:t xml:space="preserve">the </w:t>
      </w:r>
      <w:r w:rsidR="00563DA6" w:rsidRPr="00712ACB">
        <w:rPr>
          <w:rFonts w:cs="Arial"/>
          <w:color w:val="222222"/>
          <w:sz w:val="21"/>
          <w:szCs w:val="21"/>
        </w:rPr>
        <w:t>International</w:t>
      </w:r>
      <w:r w:rsidR="00D06B61" w:rsidRPr="00712ACB">
        <w:rPr>
          <w:rFonts w:cs="Arial"/>
          <w:color w:val="222222"/>
          <w:sz w:val="21"/>
          <w:szCs w:val="21"/>
        </w:rPr>
        <w:t xml:space="preserve"> Labor Organization has identified as</w:t>
      </w:r>
      <w:r w:rsidR="00FB7634" w:rsidRPr="00712ACB">
        <w:rPr>
          <w:rFonts w:cs="Arial"/>
          <w:color w:val="222222"/>
          <w:sz w:val="21"/>
          <w:szCs w:val="21"/>
        </w:rPr>
        <w:t xml:space="preserve"> creating risk factors</w:t>
      </w:r>
      <w:r w:rsidR="00D06B61" w:rsidRPr="00712ACB">
        <w:rPr>
          <w:rFonts w:cs="Arial"/>
          <w:color w:val="222222"/>
          <w:sz w:val="21"/>
          <w:szCs w:val="21"/>
        </w:rPr>
        <w:t xml:space="preserve"> </w:t>
      </w:r>
      <w:hyperlink r:id="rId9" w:history="1">
        <w:r w:rsidR="00FE13FB" w:rsidRPr="00712ACB">
          <w:rPr>
            <w:rStyle w:val="Hyperlink"/>
            <w:rFonts w:cs="Arial"/>
            <w:sz w:val="21"/>
            <w:szCs w:val="21"/>
          </w:rPr>
          <w:t xml:space="preserve">often </w:t>
        </w:r>
        <w:r w:rsidRPr="00712ACB">
          <w:rPr>
            <w:rStyle w:val="Hyperlink"/>
            <w:rFonts w:cs="Arial"/>
            <w:sz w:val="21"/>
            <w:szCs w:val="21"/>
          </w:rPr>
          <w:t>lead</w:t>
        </w:r>
        <w:r w:rsidR="00D06B61" w:rsidRPr="00712ACB">
          <w:rPr>
            <w:rStyle w:val="Hyperlink"/>
            <w:rFonts w:cs="Arial"/>
            <w:sz w:val="21"/>
            <w:szCs w:val="21"/>
          </w:rPr>
          <w:t>ing</w:t>
        </w:r>
        <w:r w:rsidRPr="00712ACB">
          <w:rPr>
            <w:rStyle w:val="Hyperlink"/>
            <w:rFonts w:cs="Arial"/>
            <w:sz w:val="21"/>
            <w:szCs w:val="21"/>
          </w:rPr>
          <w:t xml:space="preserve"> to GBVH</w:t>
        </w:r>
      </w:hyperlink>
      <w:r w:rsidR="00A455D2" w:rsidRPr="00712ACB">
        <w:rPr>
          <w:rFonts w:cs="Arial"/>
          <w:color w:val="222222"/>
          <w:sz w:val="21"/>
          <w:szCs w:val="21"/>
        </w:rPr>
        <w:t>:</w:t>
      </w:r>
    </w:p>
    <w:p w14:paraId="741D7A6E" w14:textId="77777777" w:rsidR="00A455D2" w:rsidRPr="00712ACB" w:rsidRDefault="00A455D2" w:rsidP="00A455D2">
      <w:pPr>
        <w:pStyle w:val="ListParagraph"/>
        <w:rPr>
          <w:rFonts w:ascii="Century Gothic" w:hAnsi="Century Gothic" w:cs="Arial"/>
          <w:color w:val="222222"/>
          <w:sz w:val="21"/>
          <w:szCs w:val="21"/>
        </w:rPr>
      </w:pPr>
    </w:p>
    <w:p w14:paraId="1C100E3D" w14:textId="0C4BA1D7" w:rsidR="00A455D2" w:rsidRPr="00712ACB" w:rsidRDefault="00492E21" w:rsidP="00A455D2">
      <w:pPr>
        <w:pStyle w:val="Default"/>
        <w:numPr>
          <w:ilvl w:val="1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color w:val="222222"/>
          <w:sz w:val="21"/>
          <w:szCs w:val="21"/>
        </w:rPr>
        <w:t>D</w:t>
      </w:r>
      <w:r w:rsidR="00563DA6" w:rsidRPr="00712ACB">
        <w:rPr>
          <w:rFonts w:cs="Arial"/>
          <w:color w:val="222222"/>
          <w:sz w:val="21"/>
          <w:szCs w:val="21"/>
        </w:rPr>
        <w:t>is</w:t>
      </w:r>
      <w:r w:rsidR="00D06B61" w:rsidRPr="00712ACB">
        <w:rPr>
          <w:rFonts w:cs="Arial"/>
          <w:color w:val="222222"/>
          <w:sz w:val="21"/>
          <w:szCs w:val="21"/>
        </w:rPr>
        <w:t>proportiona</w:t>
      </w:r>
      <w:r w:rsidR="00563DA6" w:rsidRPr="00712ACB">
        <w:rPr>
          <w:rFonts w:cs="Arial"/>
          <w:color w:val="222222"/>
          <w:sz w:val="21"/>
          <w:szCs w:val="21"/>
        </w:rPr>
        <w:t>te concentration of women</w:t>
      </w:r>
      <w:r w:rsidR="00FE13FB" w:rsidRPr="00712ACB">
        <w:rPr>
          <w:rFonts w:cs="Arial"/>
          <w:color w:val="222222"/>
          <w:sz w:val="21"/>
          <w:szCs w:val="21"/>
        </w:rPr>
        <w:t xml:space="preserve"> </w:t>
      </w:r>
      <w:r w:rsidR="00A455D2" w:rsidRPr="00712ACB">
        <w:rPr>
          <w:rFonts w:cs="Arial"/>
          <w:color w:val="222222"/>
          <w:sz w:val="21"/>
          <w:szCs w:val="21"/>
        </w:rPr>
        <w:t xml:space="preserve">in low-wage jobs, especially in </w:t>
      </w:r>
      <w:r w:rsidR="00DA58B8" w:rsidRPr="00712ACB">
        <w:rPr>
          <w:rFonts w:cs="Arial"/>
          <w:color w:val="222222"/>
          <w:sz w:val="21"/>
          <w:szCs w:val="21"/>
        </w:rPr>
        <w:t xml:space="preserve">the </w:t>
      </w:r>
      <w:r w:rsidR="00B438E5" w:rsidRPr="00712ACB">
        <w:rPr>
          <w:rFonts w:cs="Arial"/>
          <w:color w:val="222222"/>
          <w:sz w:val="21"/>
          <w:szCs w:val="21"/>
        </w:rPr>
        <w:t xml:space="preserve">distant </w:t>
      </w:r>
      <w:r w:rsidR="00A455D2" w:rsidRPr="00712ACB">
        <w:rPr>
          <w:rFonts w:cs="Arial"/>
          <w:color w:val="222222"/>
          <w:sz w:val="21"/>
          <w:szCs w:val="21"/>
        </w:rPr>
        <w:t>tiers of supply chains</w:t>
      </w:r>
    </w:p>
    <w:p w14:paraId="65B3D41C" w14:textId="4C8C7B76" w:rsidR="003E1702" w:rsidRPr="00712ACB" w:rsidRDefault="00D06B61" w:rsidP="00A455D2">
      <w:pPr>
        <w:pStyle w:val="Default"/>
        <w:numPr>
          <w:ilvl w:val="1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color w:val="222222"/>
          <w:sz w:val="21"/>
          <w:szCs w:val="21"/>
        </w:rPr>
        <w:t>Imbalanced p</w:t>
      </w:r>
      <w:r w:rsidR="00A455D2" w:rsidRPr="00712ACB">
        <w:rPr>
          <w:rFonts w:cs="Arial"/>
          <w:color w:val="222222"/>
          <w:sz w:val="21"/>
          <w:szCs w:val="21"/>
        </w:rPr>
        <w:t>ower relationships, including due to gender, race</w:t>
      </w:r>
      <w:r w:rsidR="00B03695" w:rsidRPr="00712ACB">
        <w:rPr>
          <w:rFonts w:cs="Arial"/>
          <w:color w:val="222222"/>
          <w:sz w:val="21"/>
          <w:szCs w:val="21"/>
        </w:rPr>
        <w:t xml:space="preserve">, </w:t>
      </w:r>
      <w:r w:rsidR="00A455D2" w:rsidRPr="00712ACB">
        <w:rPr>
          <w:rFonts w:cs="Arial"/>
          <w:color w:val="222222"/>
          <w:sz w:val="21"/>
          <w:szCs w:val="21"/>
        </w:rPr>
        <w:t>ethnicity, social origin, education, poverty, disability, sexual orientation and gender identity, migrant status and age</w:t>
      </w:r>
    </w:p>
    <w:p w14:paraId="65AED472" w14:textId="44694D36" w:rsidR="00A455D2" w:rsidRPr="00712ACB" w:rsidRDefault="00563DA6" w:rsidP="00A455D2">
      <w:pPr>
        <w:pStyle w:val="Default"/>
        <w:numPr>
          <w:ilvl w:val="1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color w:val="222222"/>
          <w:sz w:val="21"/>
          <w:szCs w:val="21"/>
        </w:rPr>
        <w:t>Interacting f</w:t>
      </w:r>
      <w:r w:rsidR="00FE13FB" w:rsidRPr="00712ACB">
        <w:rPr>
          <w:rFonts w:cs="Arial"/>
          <w:color w:val="222222"/>
          <w:sz w:val="21"/>
          <w:szCs w:val="21"/>
        </w:rPr>
        <w:t>orms</w:t>
      </w:r>
      <w:r w:rsidR="00A455D2" w:rsidRPr="00712ACB">
        <w:rPr>
          <w:rFonts w:cs="Arial"/>
          <w:color w:val="222222"/>
          <w:sz w:val="21"/>
          <w:szCs w:val="21"/>
        </w:rPr>
        <w:t xml:space="preserve"> of discrimination, such as </w:t>
      </w:r>
      <w:r w:rsidR="00FB7634" w:rsidRPr="00712ACB">
        <w:rPr>
          <w:rFonts w:cs="Arial"/>
          <w:color w:val="222222"/>
          <w:sz w:val="21"/>
          <w:szCs w:val="21"/>
        </w:rPr>
        <w:t xml:space="preserve">migratory status, race, ethnicity, disability, </w:t>
      </w:r>
      <w:r w:rsidR="00A455D2" w:rsidRPr="00712ACB">
        <w:rPr>
          <w:rFonts w:cs="Arial"/>
          <w:color w:val="222222"/>
          <w:sz w:val="21"/>
          <w:szCs w:val="21"/>
        </w:rPr>
        <w:t xml:space="preserve">gender and </w:t>
      </w:r>
      <w:r w:rsidR="00492E21" w:rsidRPr="00712ACB">
        <w:rPr>
          <w:rFonts w:cs="Arial"/>
          <w:color w:val="222222"/>
          <w:sz w:val="21"/>
          <w:szCs w:val="21"/>
        </w:rPr>
        <w:t>poverty</w:t>
      </w:r>
    </w:p>
    <w:p w14:paraId="7BDFE148" w14:textId="16C3E750" w:rsidR="00FB7634" w:rsidRPr="00712ACB" w:rsidRDefault="00FB7634" w:rsidP="00A455D2">
      <w:pPr>
        <w:pStyle w:val="Default"/>
        <w:numPr>
          <w:ilvl w:val="1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color w:val="222222"/>
          <w:sz w:val="21"/>
          <w:szCs w:val="21"/>
        </w:rPr>
        <w:t>Insecure working arrangements</w:t>
      </w:r>
      <w:r w:rsidR="0052442F" w:rsidRPr="00712ACB">
        <w:rPr>
          <w:rFonts w:cs="Arial"/>
          <w:color w:val="222222"/>
          <w:sz w:val="21"/>
          <w:szCs w:val="21"/>
        </w:rPr>
        <w:t>,</w:t>
      </w:r>
      <w:r w:rsidRPr="00712ACB">
        <w:rPr>
          <w:rFonts w:cs="Arial"/>
          <w:color w:val="222222"/>
          <w:sz w:val="21"/>
          <w:szCs w:val="21"/>
        </w:rPr>
        <w:t xml:space="preserve"> including no contract or short</w:t>
      </w:r>
      <w:r w:rsidR="0052442F" w:rsidRPr="00712ACB">
        <w:rPr>
          <w:rFonts w:cs="Arial"/>
          <w:color w:val="222222"/>
          <w:sz w:val="21"/>
          <w:szCs w:val="21"/>
        </w:rPr>
        <w:t>-</w:t>
      </w:r>
      <w:r w:rsidRPr="00712ACB">
        <w:rPr>
          <w:rFonts w:cs="Arial"/>
          <w:color w:val="222222"/>
          <w:sz w:val="21"/>
          <w:szCs w:val="21"/>
        </w:rPr>
        <w:t>term contracts</w:t>
      </w:r>
      <w:r w:rsidR="0052442F" w:rsidRPr="00712ACB">
        <w:rPr>
          <w:rFonts w:cs="Arial"/>
          <w:color w:val="222222"/>
          <w:sz w:val="21"/>
          <w:szCs w:val="21"/>
        </w:rPr>
        <w:t xml:space="preserve"> and</w:t>
      </w:r>
      <w:r w:rsidRPr="00712ACB">
        <w:rPr>
          <w:rFonts w:cs="Arial"/>
          <w:color w:val="222222"/>
          <w:sz w:val="21"/>
          <w:szCs w:val="21"/>
        </w:rPr>
        <w:t xml:space="preserve"> informal work</w:t>
      </w:r>
    </w:p>
    <w:p w14:paraId="216DE0CA" w14:textId="748DA19B" w:rsidR="00A455D2" w:rsidRPr="00712ACB" w:rsidRDefault="00563DA6" w:rsidP="00A455D2">
      <w:pPr>
        <w:pStyle w:val="Default"/>
        <w:numPr>
          <w:ilvl w:val="1"/>
          <w:numId w:val="1"/>
        </w:numPr>
        <w:rPr>
          <w:rFonts w:cs="Arial"/>
          <w:color w:val="222222"/>
          <w:sz w:val="21"/>
          <w:szCs w:val="21"/>
        </w:rPr>
      </w:pPr>
      <w:r w:rsidRPr="00712ACB">
        <w:rPr>
          <w:rFonts w:cs="Arial"/>
          <w:color w:val="222222"/>
          <w:sz w:val="21"/>
          <w:szCs w:val="21"/>
        </w:rPr>
        <w:t>High u</w:t>
      </w:r>
      <w:r w:rsidR="00FE13FB" w:rsidRPr="00712ACB">
        <w:rPr>
          <w:rFonts w:cs="Arial"/>
          <w:color w:val="222222"/>
          <w:sz w:val="21"/>
          <w:szCs w:val="21"/>
        </w:rPr>
        <w:t>nemployment</w:t>
      </w:r>
    </w:p>
    <w:p w14:paraId="28E119C3" w14:textId="77777777" w:rsidR="00A455D2" w:rsidRPr="00712ACB" w:rsidRDefault="00A455D2" w:rsidP="00A455D2">
      <w:pPr>
        <w:pStyle w:val="ListParagraph"/>
        <w:rPr>
          <w:rFonts w:ascii="Century Gothic" w:hAnsi="Century Gothic" w:cs="Arial"/>
          <w:color w:val="222222"/>
          <w:sz w:val="21"/>
          <w:szCs w:val="21"/>
        </w:rPr>
      </w:pPr>
    </w:p>
    <w:p w14:paraId="7F5A9B97" w14:textId="5E68316D" w:rsidR="00B72865" w:rsidRPr="00712ACB" w:rsidRDefault="004A3787" w:rsidP="00B72865">
      <w:pPr>
        <w:pStyle w:val="Default"/>
        <w:numPr>
          <w:ilvl w:val="0"/>
          <w:numId w:val="1"/>
        </w:numPr>
        <w:rPr>
          <w:rFonts w:cs="Arial"/>
          <w:color w:val="222222"/>
          <w:sz w:val="21"/>
          <w:szCs w:val="21"/>
        </w:rPr>
      </w:pPr>
      <w:r w:rsidRPr="00712ACB">
        <w:rPr>
          <w:rFonts w:cs="Arial"/>
          <w:color w:val="222222"/>
          <w:sz w:val="21"/>
          <w:szCs w:val="21"/>
        </w:rPr>
        <w:t>Globally, s</w:t>
      </w:r>
      <w:r w:rsidR="003E1702" w:rsidRPr="00712ACB">
        <w:rPr>
          <w:rFonts w:cs="Arial"/>
          <w:color w:val="222222"/>
          <w:sz w:val="21"/>
          <w:szCs w:val="21"/>
        </w:rPr>
        <w:t xml:space="preserve">ome </w:t>
      </w:r>
      <w:hyperlink r:id="rId10" w:history="1">
        <w:r w:rsidR="003E1702" w:rsidRPr="00712ACB">
          <w:rPr>
            <w:rStyle w:val="Hyperlink"/>
            <w:rFonts w:cs="Arial"/>
            <w:sz w:val="21"/>
            <w:szCs w:val="21"/>
          </w:rPr>
          <w:t>85 percent of garment workers are women</w:t>
        </w:r>
      </w:hyperlink>
      <w:r w:rsidR="00492E21" w:rsidRPr="00712ACB">
        <w:rPr>
          <w:rStyle w:val="Hyperlink"/>
          <w:rFonts w:cs="Arial"/>
          <w:sz w:val="21"/>
          <w:szCs w:val="21"/>
        </w:rPr>
        <w:t>.</w:t>
      </w:r>
      <w:r w:rsidR="00492E21" w:rsidRPr="00712ACB">
        <w:rPr>
          <w:rFonts w:cs="Arial"/>
          <w:color w:val="222222"/>
          <w:sz w:val="21"/>
          <w:szCs w:val="21"/>
        </w:rPr>
        <w:t xml:space="preserve"> They are especially vulner</w:t>
      </w:r>
      <w:r w:rsidR="003E1702" w:rsidRPr="00712ACB">
        <w:rPr>
          <w:rFonts w:cs="Arial"/>
          <w:color w:val="222222"/>
          <w:sz w:val="21"/>
          <w:szCs w:val="21"/>
        </w:rPr>
        <w:t>able to abuse and violence at work</w:t>
      </w:r>
      <w:r w:rsidR="00FB7634" w:rsidRPr="00712ACB">
        <w:rPr>
          <w:rFonts w:cs="Arial"/>
          <w:color w:val="222222"/>
          <w:sz w:val="21"/>
          <w:szCs w:val="21"/>
        </w:rPr>
        <w:t xml:space="preserve"> because occupational segregation </w:t>
      </w:r>
      <w:r w:rsidR="00B438E5" w:rsidRPr="00712ACB">
        <w:rPr>
          <w:rFonts w:cs="Arial"/>
          <w:color w:val="222222"/>
          <w:sz w:val="21"/>
          <w:szCs w:val="21"/>
        </w:rPr>
        <w:t xml:space="preserve">relegates </w:t>
      </w:r>
      <w:r w:rsidR="00FB7634" w:rsidRPr="00712ACB">
        <w:rPr>
          <w:rFonts w:cs="Arial"/>
          <w:color w:val="222222"/>
          <w:sz w:val="21"/>
          <w:szCs w:val="21"/>
        </w:rPr>
        <w:t xml:space="preserve">women </w:t>
      </w:r>
      <w:r w:rsidR="00B438E5" w:rsidRPr="00712ACB">
        <w:rPr>
          <w:rFonts w:cs="Arial"/>
          <w:color w:val="222222"/>
          <w:sz w:val="21"/>
          <w:szCs w:val="21"/>
        </w:rPr>
        <w:t xml:space="preserve">to </w:t>
      </w:r>
      <w:r w:rsidR="00FB7634" w:rsidRPr="00712ACB">
        <w:rPr>
          <w:rFonts w:cs="Arial"/>
          <w:color w:val="222222"/>
          <w:sz w:val="21"/>
          <w:szCs w:val="21"/>
        </w:rPr>
        <w:t>the lowest</w:t>
      </w:r>
      <w:r w:rsidR="0052442F" w:rsidRPr="00712ACB">
        <w:rPr>
          <w:rFonts w:cs="Arial"/>
          <w:color w:val="222222"/>
          <w:sz w:val="21"/>
          <w:szCs w:val="21"/>
        </w:rPr>
        <w:t xml:space="preserve"> </w:t>
      </w:r>
      <w:r w:rsidR="00FB7634" w:rsidRPr="00712ACB">
        <w:rPr>
          <w:rFonts w:cs="Arial"/>
          <w:color w:val="222222"/>
          <w:sz w:val="21"/>
          <w:szCs w:val="21"/>
        </w:rPr>
        <w:t>paying and most insecure jobs</w:t>
      </w:r>
      <w:r w:rsidR="003E1702" w:rsidRPr="00712ACB">
        <w:rPr>
          <w:rFonts w:cs="Arial"/>
          <w:color w:val="222222"/>
          <w:sz w:val="21"/>
          <w:szCs w:val="21"/>
        </w:rPr>
        <w:t>.</w:t>
      </w:r>
    </w:p>
    <w:p w14:paraId="520FFBAC" w14:textId="77777777" w:rsidR="00B72865" w:rsidRPr="00712ACB" w:rsidRDefault="00B72865" w:rsidP="00B72865">
      <w:pPr>
        <w:pStyle w:val="ListParagraph"/>
        <w:rPr>
          <w:rFonts w:ascii="Century Gothic" w:hAnsi="Century Gothic" w:cs="Arial"/>
          <w:color w:val="222222"/>
          <w:sz w:val="21"/>
          <w:szCs w:val="21"/>
        </w:rPr>
      </w:pPr>
    </w:p>
    <w:p w14:paraId="3786CC0E" w14:textId="77777777" w:rsidR="00493349" w:rsidRPr="00493349" w:rsidRDefault="00915DF2" w:rsidP="0014391B">
      <w:pPr>
        <w:pStyle w:val="Default"/>
        <w:numPr>
          <w:ilvl w:val="0"/>
          <w:numId w:val="1"/>
        </w:numPr>
        <w:rPr>
          <w:rFonts w:cs="Arial"/>
          <w:b/>
          <w:bCs/>
          <w:sz w:val="21"/>
          <w:szCs w:val="21"/>
        </w:rPr>
      </w:pPr>
      <w:r w:rsidRPr="00493349">
        <w:rPr>
          <w:rFonts w:cs="Arial"/>
          <w:color w:val="222222"/>
          <w:sz w:val="21"/>
          <w:szCs w:val="21"/>
        </w:rPr>
        <w:t xml:space="preserve">The persistent global gender gap in pay—women on average earn </w:t>
      </w:r>
      <w:hyperlink r:id="rId11" w:anchor="notes" w:history="1">
        <w:r w:rsidRPr="00493349">
          <w:rPr>
            <w:rStyle w:val="Hyperlink"/>
            <w:rFonts w:cs="Arial"/>
            <w:sz w:val="21"/>
            <w:szCs w:val="21"/>
          </w:rPr>
          <w:t>between 60 percent and 75 percent</w:t>
        </w:r>
      </w:hyperlink>
      <w:r w:rsidRPr="00493349">
        <w:rPr>
          <w:rFonts w:cs="Arial"/>
          <w:color w:val="222222"/>
          <w:sz w:val="21"/>
          <w:szCs w:val="21"/>
        </w:rPr>
        <w:t xml:space="preserve"> of men’s wages—is reflected in high poverty levels for women in garment jobs</w:t>
      </w:r>
      <w:r w:rsidR="00FB7634" w:rsidRPr="00493349">
        <w:rPr>
          <w:rFonts w:cs="Arial"/>
          <w:color w:val="222222"/>
          <w:sz w:val="21"/>
          <w:szCs w:val="21"/>
        </w:rPr>
        <w:t xml:space="preserve"> and is linked to the high rates of GBVH in the garment sector</w:t>
      </w:r>
      <w:r w:rsidRPr="00493349">
        <w:rPr>
          <w:rFonts w:cs="Arial"/>
          <w:color w:val="222222"/>
          <w:sz w:val="21"/>
          <w:szCs w:val="21"/>
        </w:rPr>
        <w:t>.</w:t>
      </w:r>
    </w:p>
    <w:p w14:paraId="494EF7B2" w14:textId="77777777" w:rsidR="00493349" w:rsidRDefault="00493349" w:rsidP="00493349">
      <w:pPr>
        <w:pStyle w:val="ListParagraph"/>
        <w:rPr>
          <w:rFonts w:cs="Arial"/>
          <w:color w:val="222222"/>
          <w:sz w:val="21"/>
          <w:szCs w:val="21"/>
        </w:rPr>
      </w:pPr>
    </w:p>
    <w:p w14:paraId="57331321" w14:textId="77777777" w:rsidR="00493349" w:rsidRDefault="00493349" w:rsidP="00493349">
      <w:pPr>
        <w:pStyle w:val="ListParagraph"/>
        <w:rPr>
          <w:rFonts w:cs="Arial"/>
          <w:color w:val="222222"/>
          <w:sz w:val="21"/>
          <w:szCs w:val="21"/>
        </w:rPr>
      </w:pPr>
    </w:p>
    <w:p w14:paraId="1A205272" w14:textId="6C18E354" w:rsidR="00492E21" w:rsidRPr="00493349" w:rsidRDefault="00915DF2" w:rsidP="0014391B">
      <w:pPr>
        <w:pStyle w:val="Default"/>
        <w:numPr>
          <w:ilvl w:val="0"/>
          <w:numId w:val="1"/>
        </w:numPr>
        <w:rPr>
          <w:rFonts w:cs="Arial"/>
          <w:b/>
          <w:bCs/>
          <w:sz w:val="21"/>
          <w:szCs w:val="21"/>
        </w:rPr>
      </w:pPr>
      <w:r w:rsidRPr="00493349">
        <w:rPr>
          <w:rFonts w:cs="Arial"/>
          <w:color w:val="222222"/>
          <w:sz w:val="21"/>
          <w:szCs w:val="21"/>
        </w:rPr>
        <w:t xml:space="preserve">In some countries, garment workers work </w:t>
      </w:r>
      <w:hyperlink r:id="rId12" w:history="1">
        <w:r w:rsidRPr="00493349">
          <w:rPr>
            <w:rStyle w:val="Hyperlink"/>
            <w:rFonts w:cs="Arial"/>
            <w:sz w:val="21"/>
            <w:szCs w:val="21"/>
          </w:rPr>
          <w:t>between 10 and 16 hours a day, six</w:t>
        </w:r>
        <w:r w:rsidR="004A5FC4" w:rsidRPr="00493349">
          <w:rPr>
            <w:rStyle w:val="Hyperlink"/>
            <w:rFonts w:cs="Arial"/>
            <w:sz w:val="21"/>
            <w:szCs w:val="21"/>
          </w:rPr>
          <w:t xml:space="preserve"> </w:t>
        </w:r>
        <w:r w:rsidRPr="00493349">
          <w:rPr>
            <w:rStyle w:val="Hyperlink"/>
            <w:rFonts w:cs="Arial"/>
            <w:sz w:val="21"/>
            <w:szCs w:val="21"/>
          </w:rPr>
          <w:t>days a week</w:t>
        </w:r>
      </w:hyperlink>
      <w:r w:rsidRPr="00493349">
        <w:rPr>
          <w:rFonts w:cs="Arial"/>
          <w:color w:val="222222"/>
          <w:sz w:val="21"/>
          <w:szCs w:val="21"/>
        </w:rPr>
        <w:t>, leaving them little time for their families and increasing their</w:t>
      </w:r>
      <w:r w:rsidR="004A5FC4" w:rsidRPr="00493349">
        <w:rPr>
          <w:rFonts w:cs="Arial"/>
          <w:color w:val="222222"/>
          <w:sz w:val="21"/>
          <w:szCs w:val="21"/>
        </w:rPr>
        <w:t xml:space="preserve"> </w:t>
      </w:r>
      <w:r w:rsidRPr="00493349">
        <w:rPr>
          <w:rFonts w:cs="Arial"/>
          <w:color w:val="222222"/>
          <w:sz w:val="21"/>
          <w:szCs w:val="21"/>
        </w:rPr>
        <w:t>vulnerability to abuse such as gender-based violence.</w:t>
      </w:r>
    </w:p>
    <w:p w14:paraId="292D40AA" w14:textId="77777777" w:rsidR="009C1229" w:rsidRPr="00712ACB" w:rsidRDefault="009C1229" w:rsidP="00492E21">
      <w:pPr>
        <w:pStyle w:val="Default"/>
        <w:shd w:val="clear" w:color="auto" w:fill="FFFFFF"/>
        <w:rPr>
          <w:rFonts w:cs="Arial"/>
          <w:b/>
          <w:bCs/>
          <w:sz w:val="21"/>
          <w:szCs w:val="21"/>
        </w:rPr>
      </w:pPr>
    </w:p>
    <w:p w14:paraId="0C4AA340" w14:textId="1D9B64A6" w:rsidR="00492E21" w:rsidRPr="00712ACB" w:rsidRDefault="00492E21" w:rsidP="00492E21">
      <w:pPr>
        <w:pStyle w:val="Default"/>
        <w:shd w:val="clear" w:color="auto" w:fill="FFFFFF"/>
        <w:rPr>
          <w:rFonts w:cs="Arial"/>
          <w:b/>
          <w:bCs/>
          <w:sz w:val="21"/>
          <w:szCs w:val="21"/>
        </w:rPr>
      </w:pPr>
      <w:r w:rsidRPr="00712ACB">
        <w:rPr>
          <w:rFonts w:cs="Arial"/>
          <w:b/>
          <w:bCs/>
          <w:sz w:val="21"/>
          <w:szCs w:val="21"/>
        </w:rPr>
        <w:t>Gender-Based Violence and Harassment Is Widespread</w:t>
      </w:r>
    </w:p>
    <w:p w14:paraId="6771B6EC" w14:textId="77777777" w:rsidR="00492E21" w:rsidRPr="00712ACB" w:rsidRDefault="00492E21" w:rsidP="00492E21">
      <w:pPr>
        <w:pStyle w:val="Default"/>
        <w:shd w:val="clear" w:color="auto" w:fill="FFFFFF"/>
        <w:rPr>
          <w:rFonts w:cs="Arial"/>
          <w:sz w:val="21"/>
          <w:szCs w:val="21"/>
        </w:rPr>
      </w:pPr>
    </w:p>
    <w:p w14:paraId="37557109" w14:textId="037FCDB6" w:rsidR="00551869" w:rsidRPr="00712ACB" w:rsidRDefault="00214BB2" w:rsidP="00492E21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sz w:val="21"/>
          <w:szCs w:val="21"/>
        </w:rPr>
        <w:t>G</w:t>
      </w:r>
      <w:r w:rsidR="00E525A0" w:rsidRPr="00712ACB">
        <w:rPr>
          <w:rFonts w:cs="Arial"/>
          <w:sz w:val="21"/>
          <w:szCs w:val="21"/>
        </w:rPr>
        <w:t xml:space="preserve">arment workers </w:t>
      </w:r>
      <w:r w:rsidRPr="00712ACB">
        <w:rPr>
          <w:rFonts w:cs="Arial"/>
          <w:sz w:val="21"/>
          <w:szCs w:val="21"/>
        </w:rPr>
        <w:t xml:space="preserve">in Cambodia </w:t>
      </w:r>
      <w:r w:rsidR="00E525A0" w:rsidRPr="00712ACB">
        <w:rPr>
          <w:rFonts w:cs="Arial"/>
          <w:sz w:val="21"/>
          <w:szCs w:val="21"/>
        </w:rPr>
        <w:t xml:space="preserve">report that </w:t>
      </w:r>
      <w:hyperlink r:id="rId13" w:history="1">
        <w:r w:rsidR="00E525A0" w:rsidRPr="00712ACB">
          <w:rPr>
            <w:rStyle w:val="Hyperlink"/>
            <w:rFonts w:cs="Arial"/>
            <w:sz w:val="21"/>
            <w:szCs w:val="21"/>
          </w:rPr>
          <w:t>nearly one in three women experience</w:t>
        </w:r>
        <w:r w:rsidR="0093742C" w:rsidRPr="00712ACB">
          <w:rPr>
            <w:rStyle w:val="Hyperlink"/>
            <w:rFonts w:cs="Arial"/>
            <w:sz w:val="21"/>
            <w:szCs w:val="21"/>
          </w:rPr>
          <w:t>d</w:t>
        </w:r>
        <w:r w:rsidR="00E525A0" w:rsidRPr="00712ACB">
          <w:rPr>
            <w:rStyle w:val="Hyperlink"/>
            <w:rFonts w:cs="Arial"/>
            <w:sz w:val="21"/>
            <w:szCs w:val="21"/>
          </w:rPr>
          <w:t xml:space="preserve"> sexual harassment at work</w:t>
        </w:r>
      </w:hyperlink>
      <w:r w:rsidR="008750B2" w:rsidRPr="00712ACB">
        <w:rPr>
          <w:rFonts w:cs="Arial"/>
          <w:sz w:val="21"/>
          <w:szCs w:val="21"/>
        </w:rPr>
        <w:t xml:space="preserve"> </w:t>
      </w:r>
      <w:r w:rsidR="00042CC1" w:rsidRPr="00712ACB">
        <w:rPr>
          <w:rFonts w:cs="Arial"/>
          <w:sz w:val="21"/>
          <w:szCs w:val="21"/>
        </w:rPr>
        <w:t>over</w:t>
      </w:r>
      <w:r w:rsidR="008750B2" w:rsidRPr="00712ACB">
        <w:rPr>
          <w:rFonts w:cs="Arial"/>
          <w:sz w:val="21"/>
          <w:szCs w:val="21"/>
        </w:rPr>
        <w:t xml:space="preserve"> a three-month period.</w:t>
      </w:r>
    </w:p>
    <w:p w14:paraId="63DE431B" w14:textId="77777777" w:rsidR="00551869" w:rsidRPr="00712ACB" w:rsidRDefault="00551869" w:rsidP="00551869">
      <w:pPr>
        <w:pStyle w:val="ListParagraph"/>
        <w:rPr>
          <w:rFonts w:ascii="Century Gothic" w:hAnsi="Century Gothic" w:cs="Arial"/>
          <w:color w:val="222222"/>
          <w:sz w:val="21"/>
          <w:szCs w:val="21"/>
        </w:rPr>
      </w:pPr>
    </w:p>
    <w:p w14:paraId="233CBFBF" w14:textId="56952F4E" w:rsidR="008750B2" w:rsidRPr="00712ACB" w:rsidRDefault="00E525A0" w:rsidP="00B17680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sz w:val="21"/>
          <w:szCs w:val="21"/>
        </w:rPr>
        <w:t xml:space="preserve">In </w:t>
      </w:r>
      <w:r w:rsidR="00FE0E31">
        <w:rPr>
          <w:rFonts w:cs="Arial"/>
          <w:sz w:val="21"/>
          <w:szCs w:val="21"/>
        </w:rPr>
        <w:t xml:space="preserve">a 2014 </w:t>
      </w:r>
      <w:r w:rsidRPr="00712ACB">
        <w:rPr>
          <w:rFonts w:cs="Arial"/>
          <w:sz w:val="21"/>
          <w:szCs w:val="21"/>
        </w:rPr>
        <w:t xml:space="preserve">survey of more than 400 garment workers </w:t>
      </w:r>
      <w:r w:rsidR="00FE0E31">
        <w:rPr>
          <w:rFonts w:cs="Arial"/>
          <w:sz w:val="21"/>
          <w:szCs w:val="21"/>
        </w:rPr>
        <w:t xml:space="preserve">in Swaziland, </w:t>
      </w:r>
      <w:r w:rsidR="00FE0E31" w:rsidRPr="00FE0E31">
        <w:rPr>
          <w:rFonts w:cs="Arial"/>
          <w:sz w:val="21"/>
          <w:szCs w:val="21"/>
        </w:rPr>
        <w:t xml:space="preserve">where women make up 90 percent of the garment sector, </w:t>
      </w:r>
      <w:hyperlink r:id="rId14" w:history="1">
        <w:r w:rsidRPr="00712ACB">
          <w:rPr>
            <w:rStyle w:val="Hyperlink"/>
            <w:rFonts w:cs="Arial"/>
            <w:sz w:val="21"/>
            <w:szCs w:val="21"/>
          </w:rPr>
          <w:t>more than 70 percent of respondents reported witnessing verbal and physical abuse in their workplace by supervisors</w:t>
        </w:r>
      </w:hyperlink>
      <w:r w:rsidRPr="00712ACB">
        <w:rPr>
          <w:rFonts w:cs="Arial"/>
          <w:sz w:val="21"/>
          <w:szCs w:val="21"/>
        </w:rPr>
        <w:t>.</w:t>
      </w:r>
    </w:p>
    <w:p w14:paraId="6C94CCA3" w14:textId="77777777" w:rsidR="008750B2" w:rsidRPr="00712ACB" w:rsidRDefault="008750B2" w:rsidP="008750B2">
      <w:pPr>
        <w:pStyle w:val="ListParagraph"/>
        <w:rPr>
          <w:rFonts w:ascii="Century Gothic" w:hAnsi="Century Gothic" w:cs="Arial"/>
          <w:color w:val="222222"/>
          <w:sz w:val="21"/>
          <w:szCs w:val="21"/>
        </w:rPr>
      </w:pPr>
    </w:p>
    <w:p w14:paraId="140E2D37" w14:textId="320B3539" w:rsidR="00F43894" w:rsidRPr="00712ACB" w:rsidRDefault="00F43894" w:rsidP="00E525A0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sz w:val="21"/>
          <w:szCs w:val="21"/>
        </w:rPr>
        <w:t>Among garment workers in</w:t>
      </w:r>
      <w:r w:rsidR="00E525A0" w:rsidRPr="00712ACB">
        <w:rPr>
          <w:rFonts w:cs="Arial"/>
          <w:sz w:val="21"/>
          <w:szCs w:val="21"/>
        </w:rPr>
        <w:t xml:space="preserve"> Bangladesh</w:t>
      </w:r>
      <w:r w:rsidRPr="00712ACB">
        <w:rPr>
          <w:rFonts w:cs="Arial"/>
          <w:sz w:val="21"/>
          <w:szCs w:val="21"/>
        </w:rPr>
        <w:t>,</w:t>
      </w:r>
      <w:r w:rsidR="00E525A0" w:rsidRPr="00712ACB">
        <w:rPr>
          <w:rFonts w:cs="Arial"/>
          <w:sz w:val="21"/>
          <w:szCs w:val="21"/>
        </w:rPr>
        <w:t xml:space="preserve"> </w:t>
      </w:r>
      <w:hyperlink r:id="rId15" w:history="1">
        <w:r w:rsidR="00E525A0" w:rsidRPr="00712ACB">
          <w:rPr>
            <w:rStyle w:val="Hyperlink"/>
            <w:rFonts w:cs="Arial"/>
            <w:sz w:val="21"/>
            <w:szCs w:val="21"/>
          </w:rPr>
          <w:t>80</w:t>
        </w:r>
        <w:r w:rsidR="00296A4F" w:rsidRPr="00712ACB">
          <w:rPr>
            <w:rStyle w:val="Hyperlink"/>
            <w:rFonts w:cs="Arial"/>
            <w:sz w:val="21"/>
            <w:szCs w:val="21"/>
          </w:rPr>
          <w:t xml:space="preserve"> percent</w:t>
        </w:r>
        <w:r w:rsidR="00E525A0" w:rsidRPr="00712ACB">
          <w:rPr>
            <w:rStyle w:val="Hyperlink"/>
            <w:rFonts w:cs="Arial"/>
            <w:sz w:val="21"/>
            <w:szCs w:val="21"/>
          </w:rPr>
          <w:t xml:space="preserve"> report they have experienced some form of violence and harassment</w:t>
        </w:r>
      </w:hyperlink>
      <w:r w:rsidR="00E525A0" w:rsidRPr="00712ACB">
        <w:rPr>
          <w:rFonts w:cs="Arial"/>
          <w:sz w:val="21"/>
          <w:szCs w:val="21"/>
        </w:rPr>
        <w:t xml:space="preserve"> in the world of work.</w:t>
      </w:r>
    </w:p>
    <w:p w14:paraId="7EE9656D" w14:textId="77777777" w:rsidR="00F43894" w:rsidRPr="00712ACB" w:rsidRDefault="00F43894" w:rsidP="00F43894">
      <w:pPr>
        <w:pStyle w:val="ListParagraph"/>
        <w:rPr>
          <w:rFonts w:ascii="Century Gothic" w:hAnsi="Century Gothic" w:cs="Arial"/>
          <w:sz w:val="21"/>
          <w:szCs w:val="21"/>
        </w:rPr>
      </w:pPr>
    </w:p>
    <w:p w14:paraId="0566D9A3" w14:textId="6B495595" w:rsidR="00F43894" w:rsidRPr="00712ACB" w:rsidRDefault="0040506C" w:rsidP="00AC499A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sz w:val="21"/>
          <w:szCs w:val="21"/>
        </w:rPr>
        <w:t>A 2018 study by garment workers among their co</w:t>
      </w:r>
      <w:r w:rsidR="00BF0701" w:rsidRPr="00712ACB">
        <w:rPr>
          <w:rFonts w:cs="Arial"/>
          <w:sz w:val="21"/>
          <w:szCs w:val="21"/>
        </w:rPr>
        <w:t>-</w:t>
      </w:r>
      <w:r w:rsidRPr="00712ACB">
        <w:rPr>
          <w:rFonts w:cs="Arial"/>
          <w:sz w:val="21"/>
          <w:szCs w:val="21"/>
        </w:rPr>
        <w:t>workers at several factories in Indonesia found</w:t>
      </w:r>
      <w:hyperlink r:id="rId16" w:history="1">
        <w:r w:rsidR="00E525A0" w:rsidRPr="00712ACB">
          <w:rPr>
            <w:rStyle w:val="Hyperlink"/>
            <w:rFonts w:cs="Arial"/>
            <w:sz w:val="21"/>
            <w:szCs w:val="21"/>
          </w:rPr>
          <w:t xml:space="preserve"> 71</w:t>
        </w:r>
        <w:r w:rsidR="00D630C8" w:rsidRPr="00712ACB">
          <w:rPr>
            <w:rStyle w:val="Hyperlink"/>
            <w:rFonts w:cs="Arial"/>
            <w:sz w:val="21"/>
            <w:szCs w:val="21"/>
          </w:rPr>
          <w:t xml:space="preserve"> percent</w:t>
        </w:r>
        <w:r w:rsidR="00E525A0" w:rsidRPr="00712ACB">
          <w:rPr>
            <w:rStyle w:val="Hyperlink"/>
            <w:rFonts w:cs="Arial"/>
            <w:sz w:val="21"/>
            <w:szCs w:val="21"/>
          </w:rPr>
          <w:t xml:space="preserve"> experienced </w:t>
        </w:r>
        <w:r w:rsidR="00BF0701" w:rsidRPr="00712ACB">
          <w:rPr>
            <w:rStyle w:val="Hyperlink"/>
            <w:rFonts w:cs="Arial"/>
            <w:sz w:val="21"/>
            <w:szCs w:val="21"/>
          </w:rPr>
          <w:t>GBVH,</w:t>
        </w:r>
      </w:hyperlink>
      <w:r w:rsidR="00E525A0" w:rsidRPr="00712ACB">
        <w:rPr>
          <w:rFonts w:cs="Arial"/>
          <w:sz w:val="21"/>
          <w:szCs w:val="21"/>
        </w:rPr>
        <w:t xml:space="preserve"> including verbal, sexual, </w:t>
      </w:r>
      <w:r w:rsidR="00A564BD" w:rsidRPr="00712ACB">
        <w:rPr>
          <w:rFonts w:cs="Arial"/>
          <w:sz w:val="21"/>
          <w:szCs w:val="21"/>
        </w:rPr>
        <w:t>psychological</w:t>
      </w:r>
      <w:r w:rsidR="00E525A0" w:rsidRPr="00712ACB">
        <w:rPr>
          <w:rFonts w:cs="Arial"/>
          <w:sz w:val="21"/>
          <w:szCs w:val="21"/>
        </w:rPr>
        <w:t xml:space="preserve"> and physical abuse.</w:t>
      </w:r>
      <w:bookmarkStart w:id="0" w:name="_GoBack"/>
      <w:bookmarkEnd w:id="0"/>
    </w:p>
    <w:p w14:paraId="55B7E86D" w14:textId="77777777" w:rsidR="00F43894" w:rsidRPr="00712ACB" w:rsidRDefault="00F43894" w:rsidP="00F43894">
      <w:pPr>
        <w:pStyle w:val="ListParagraph"/>
        <w:rPr>
          <w:rFonts w:ascii="Century Gothic" w:hAnsi="Century Gothic" w:cs="Arial"/>
          <w:sz w:val="21"/>
          <w:szCs w:val="21"/>
        </w:rPr>
      </w:pPr>
    </w:p>
    <w:p w14:paraId="1D566771" w14:textId="77652DD6" w:rsidR="00E525A0" w:rsidRPr="00712ACB" w:rsidRDefault="00D442FF" w:rsidP="00AC499A">
      <w:pPr>
        <w:pStyle w:val="Default"/>
        <w:numPr>
          <w:ilvl w:val="0"/>
          <w:numId w:val="1"/>
        </w:numPr>
        <w:shd w:val="clear" w:color="auto" w:fill="FFFFFF"/>
        <w:rPr>
          <w:rFonts w:cs="Arial"/>
          <w:color w:val="222222"/>
          <w:sz w:val="21"/>
          <w:szCs w:val="21"/>
        </w:rPr>
      </w:pPr>
      <w:r w:rsidRPr="00712ACB">
        <w:rPr>
          <w:rFonts w:cs="Arial"/>
          <w:sz w:val="21"/>
          <w:szCs w:val="21"/>
        </w:rPr>
        <w:t>Cambodia g</w:t>
      </w:r>
      <w:r w:rsidR="0093742C" w:rsidRPr="00712ACB">
        <w:rPr>
          <w:rFonts w:cs="Arial"/>
          <w:sz w:val="21"/>
          <w:szCs w:val="21"/>
        </w:rPr>
        <w:t>arment workers who conducted a</w:t>
      </w:r>
      <w:r w:rsidR="00E525A0" w:rsidRPr="00712ACB">
        <w:rPr>
          <w:rFonts w:cs="Arial"/>
          <w:sz w:val="21"/>
          <w:szCs w:val="21"/>
        </w:rPr>
        <w:t xml:space="preserve"> </w:t>
      </w:r>
      <w:r w:rsidR="0093742C" w:rsidRPr="00712ACB">
        <w:rPr>
          <w:rFonts w:cs="Arial"/>
          <w:sz w:val="21"/>
          <w:szCs w:val="21"/>
        </w:rPr>
        <w:t xml:space="preserve">2018 </w:t>
      </w:r>
      <w:r w:rsidR="00E525A0" w:rsidRPr="00712ACB">
        <w:rPr>
          <w:rFonts w:cs="Arial"/>
          <w:sz w:val="21"/>
          <w:szCs w:val="21"/>
        </w:rPr>
        <w:t>study of GBVH in the garment sector</w:t>
      </w:r>
      <w:r w:rsidR="0093742C" w:rsidRPr="00712ACB">
        <w:rPr>
          <w:rFonts w:cs="Arial"/>
          <w:sz w:val="21"/>
          <w:szCs w:val="21"/>
        </w:rPr>
        <w:t xml:space="preserve"> found that</w:t>
      </w:r>
      <w:r w:rsidR="00E525A0" w:rsidRPr="00712ACB">
        <w:rPr>
          <w:rFonts w:cs="Arial"/>
          <w:sz w:val="21"/>
          <w:szCs w:val="21"/>
        </w:rPr>
        <w:t xml:space="preserve"> </w:t>
      </w:r>
      <w:hyperlink r:id="rId17" w:history="1">
        <w:r w:rsidR="00E525A0" w:rsidRPr="00712ACB">
          <w:rPr>
            <w:rStyle w:val="Hyperlink"/>
            <w:rFonts w:cs="Arial"/>
            <w:sz w:val="21"/>
            <w:szCs w:val="21"/>
          </w:rPr>
          <w:t>28</w:t>
        </w:r>
        <w:r w:rsidR="00290C63" w:rsidRPr="00712ACB">
          <w:rPr>
            <w:rStyle w:val="Hyperlink"/>
            <w:rFonts w:cs="Arial"/>
            <w:sz w:val="21"/>
            <w:szCs w:val="21"/>
          </w:rPr>
          <w:t xml:space="preserve"> percent</w:t>
        </w:r>
        <w:r w:rsidR="00E525A0" w:rsidRPr="00712ACB">
          <w:rPr>
            <w:rStyle w:val="Hyperlink"/>
            <w:rFonts w:cs="Arial"/>
            <w:sz w:val="21"/>
            <w:szCs w:val="21"/>
          </w:rPr>
          <w:t xml:space="preserve"> of women workers stated that someone at work had forced them to sleep with them </w:t>
        </w:r>
        <w:r w:rsidR="00A564BD" w:rsidRPr="00712ACB">
          <w:rPr>
            <w:rStyle w:val="Hyperlink"/>
            <w:rFonts w:cs="Arial"/>
            <w:sz w:val="21"/>
            <w:szCs w:val="21"/>
          </w:rPr>
          <w:t>to</w:t>
        </w:r>
        <w:r w:rsidR="00E525A0" w:rsidRPr="00712ACB">
          <w:rPr>
            <w:rStyle w:val="Hyperlink"/>
            <w:rFonts w:cs="Arial"/>
            <w:sz w:val="21"/>
            <w:szCs w:val="21"/>
          </w:rPr>
          <w:t xml:space="preserve"> extend a contract, fix their sewing machine or to </w:t>
        </w:r>
        <w:r w:rsidR="00BF0701" w:rsidRPr="00712ACB">
          <w:rPr>
            <w:rStyle w:val="Hyperlink"/>
            <w:rFonts w:cs="Arial"/>
            <w:sz w:val="21"/>
            <w:szCs w:val="21"/>
          </w:rPr>
          <w:t>grant</w:t>
        </w:r>
        <w:r w:rsidR="00E525A0" w:rsidRPr="00712ACB">
          <w:rPr>
            <w:rStyle w:val="Hyperlink"/>
            <w:rFonts w:cs="Arial"/>
            <w:sz w:val="21"/>
            <w:szCs w:val="21"/>
          </w:rPr>
          <w:t xml:space="preserve"> a bonus</w:t>
        </w:r>
      </w:hyperlink>
      <w:r w:rsidR="00E525A0" w:rsidRPr="00712ACB">
        <w:rPr>
          <w:rFonts w:cs="Arial"/>
          <w:sz w:val="21"/>
          <w:szCs w:val="21"/>
        </w:rPr>
        <w:t>.</w:t>
      </w:r>
    </w:p>
    <w:p w14:paraId="372D5CE9" w14:textId="456C6788" w:rsidR="00704D2B" w:rsidRPr="00712ACB" w:rsidRDefault="00367854">
      <w:pPr>
        <w:rPr>
          <w:rFonts w:ascii="Century Gothic" w:hAnsi="Century Gothic"/>
          <w:sz w:val="21"/>
          <w:szCs w:val="21"/>
        </w:rPr>
      </w:pPr>
    </w:p>
    <w:p w14:paraId="6ACC9ADB" w14:textId="626C27A4" w:rsidR="00492E21" w:rsidRPr="00712ACB" w:rsidRDefault="009C1229">
      <w:pPr>
        <w:rPr>
          <w:rFonts w:ascii="Century Gothic" w:hAnsi="Century Gothic"/>
          <w:b/>
          <w:bCs/>
          <w:sz w:val="21"/>
          <w:szCs w:val="21"/>
        </w:rPr>
      </w:pPr>
      <w:r w:rsidRPr="00712ACB">
        <w:rPr>
          <w:rFonts w:ascii="Century Gothic" w:hAnsi="Century Gothic"/>
          <w:b/>
          <w:bCs/>
          <w:sz w:val="21"/>
          <w:szCs w:val="21"/>
        </w:rPr>
        <w:t>International Treaty a Big Step to Ending GBVH at Work</w:t>
      </w:r>
    </w:p>
    <w:p w14:paraId="0BDE2171" w14:textId="77777777" w:rsidR="001A2D79" w:rsidRPr="00712ACB" w:rsidRDefault="001A2D79">
      <w:pPr>
        <w:rPr>
          <w:rFonts w:ascii="Century Gothic" w:hAnsi="Century Gothic"/>
          <w:b/>
          <w:bCs/>
          <w:sz w:val="21"/>
          <w:szCs w:val="21"/>
        </w:rPr>
      </w:pPr>
    </w:p>
    <w:p w14:paraId="00C23B8A" w14:textId="77777777" w:rsidR="00B438E5" w:rsidRPr="00712ACB" w:rsidRDefault="00B438E5" w:rsidP="00B438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rPr>
          <w:rFonts w:ascii="Century Gothic" w:eastAsia="Times New Roman" w:hAnsi="Century Gothic"/>
          <w:sz w:val="21"/>
          <w:szCs w:val="21"/>
        </w:rPr>
      </w:pPr>
      <w:r w:rsidRPr="00712ACB">
        <w:rPr>
          <w:rFonts w:ascii="Century Gothic" w:eastAsia="Times New Roman" w:hAnsi="Century Gothic"/>
          <w:sz w:val="21"/>
          <w:szCs w:val="21"/>
        </w:rPr>
        <w:t xml:space="preserve">Decent work for all, gender equality, women’s economic empowerment and women’s full participation in society cannot be achieved while GBVH is prevalent. </w:t>
      </w:r>
    </w:p>
    <w:p w14:paraId="72715477" w14:textId="77777777" w:rsidR="00B438E5" w:rsidRPr="00712ACB" w:rsidRDefault="00B438E5" w:rsidP="00712ACB">
      <w:pPr>
        <w:pStyle w:val="ListParagraph"/>
        <w:rPr>
          <w:rFonts w:ascii="Century Gothic" w:hAnsi="Century Gothic"/>
          <w:sz w:val="21"/>
          <w:szCs w:val="21"/>
        </w:rPr>
      </w:pPr>
    </w:p>
    <w:p w14:paraId="6B2D421F" w14:textId="06046A5E" w:rsidR="00FB7634" w:rsidRPr="00712ACB" w:rsidRDefault="00492E21" w:rsidP="00FB7634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712ACB">
        <w:rPr>
          <w:rFonts w:ascii="Century Gothic" w:hAnsi="Century Gothic"/>
          <w:sz w:val="21"/>
          <w:szCs w:val="21"/>
        </w:rPr>
        <w:t xml:space="preserve">The </w:t>
      </w:r>
      <w:hyperlink r:id="rId18" w:history="1">
        <w:r w:rsidRPr="00712ACB">
          <w:rPr>
            <w:rStyle w:val="Hyperlink"/>
            <w:rFonts w:ascii="Century Gothic" w:hAnsi="Century Gothic"/>
            <w:sz w:val="21"/>
            <w:szCs w:val="21"/>
          </w:rPr>
          <w:t xml:space="preserve">first-ever </w:t>
        </w:r>
        <w:r w:rsidR="005D6736" w:rsidRPr="00712ACB">
          <w:rPr>
            <w:rStyle w:val="Hyperlink"/>
            <w:rFonts w:ascii="Century Gothic" w:hAnsi="Century Gothic"/>
            <w:sz w:val="21"/>
            <w:szCs w:val="21"/>
          </w:rPr>
          <w:t xml:space="preserve">binding global </w:t>
        </w:r>
        <w:r w:rsidR="00391D59" w:rsidRPr="00712ACB">
          <w:rPr>
            <w:rStyle w:val="Hyperlink"/>
            <w:rFonts w:ascii="Century Gothic" w:hAnsi="Century Gothic"/>
            <w:sz w:val="21"/>
            <w:szCs w:val="21"/>
          </w:rPr>
          <w:t>treaty</w:t>
        </w:r>
        <w:r w:rsidR="005D6736" w:rsidRPr="00712ACB">
          <w:rPr>
            <w:rStyle w:val="Hyperlink"/>
            <w:rFonts w:ascii="Century Gothic" w:hAnsi="Century Gothic"/>
            <w:sz w:val="21"/>
            <w:szCs w:val="21"/>
          </w:rPr>
          <w:t xml:space="preserve"> to p</w:t>
        </w:r>
        <w:r w:rsidRPr="00712ACB">
          <w:rPr>
            <w:rStyle w:val="Hyperlink"/>
            <w:rFonts w:ascii="Century Gothic" w:hAnsi="Century Gothic"/>
            <w:sz w:val="21"/>
            <w:szCs w:val="21"/>
          </w:rPr>
          <w:t>re</w:t>
        </w:r>
        <w:r w:rsidR="005D6736" w:rsidRPr="00712ACB">
          <w:rPr>
            <w:rStyle w:val="Hyperlink"/>
            <w:rFonts w:ascii="Century Gothic" w:hAnsi="Century Gothic"/>
            <w:sz w:val="21"/>
            <w:szCs w:val="21"/>
          </w:rPr>
          <w:t xml:space="preserve">vent and </w:t>
        </w:r>
        <w:r w:rsidR="00FB7634" w:rsidRPr="00712ACB">
          <w:rPr>
            <w:rStyle w:val="Hyperlink"/>
            <w:rFonts w:ascii="Century Gothic" w:hAnsi="Century Gothic"/>
            <w:sz w:val="21"/>
            <w:szCs w:val="21"/>
          </w:rPr>
          <w:t>address</w:t>
        </w:r>
        <w:r w:rsidR="005D6736" w:rsidRPr="00712ACB">
          <w:rPr>
            <w:rStyle w:val="Hyperlink"/>
            <w:rFonts w:ascii="Century Gothic" w:hAnsi="Century Gothic"/>
            <w:sz w:val="21"/>
            <w:szCs w:val="21"/>
          </w:rPr>
          <w:t xml:space="preserve"> violence and harassment at work</w:t>
        </w:r>
      </w:hyperlink>
      <w:r w:rsidR="004A3787" w:rsidRPr="00712ACB">
        <w:rPr>
          <w:rFonts w:ascii="Century Gothic" w:hAnsi="Century Gothic"/>
          <w:sz w:val="21"/>
          <w:szCs w:val="21"/>
        </w:rPr>
        <w:t>,</w:t>
      </w:r>
      <w:r w:rsidR="005D6736" w:rsidRPr="00712ACB">
        <w:rPr>
          <w:rFonts w:ascii="Century Gothic" w:hAnsi="Century Gothic"/>
          <w:sz w:val="21"/>
          <w:szCs w:val="21"/>
        </w:rPr>
        <w:t xml:space="preserve"> </w:t>
      </w:r>
      <w:r w:rsidR="00FB7634" w:rsidRPr="00712ACB">
        <w:rPr>
          <w:rFonts w:ascii="Century Gothic" w:hAnsi="Century Gothic"/>
          <w:sz w:val="21"/>
          <w:szCs w:val="21"/>
        </w:rPr>
        <w:t>including gender-based violence and harassment</w:t>
      </w:r>
      <w:r w:rsidR="0052442F" w:rsidRPr="00712ACB">
        <w:rPr>
          <w:rFonts w:ascii="Century Gothic" w:hAnsi="Century Gothic"/>
          <w:sz w:val="21"/>
          <w:szCs w:val="21"/>
        </w:rPr>
        <w:t>,</w:t>
      </w:r>
      <w:r w:rsidR="00FB7634" w:rsidRPr="00712ACB">
        <w:rPr>
          <w:rFonts w:ascii="Century Gothic" w:hAnsi="Century Gothic"/>
          <w:sz w:val="21"/>
          <w:szCs w:val="21"/>
        </w:rPr>
        <w:t xml:space="preserve"> </w:t>
      </w:r>
      <w:r w:rsidR="005D6736" w:rsidRPr="00712ACB">
        <w:rPr>
          <w:rFonts w:ascii="Century Gothic" w:hAnsi="Century Gothic"/>
          <w:sz w:val="21"/>
          <w:szCs w:val="21"/>
        </w:rPr>
        <w:t>was approved by employers, government</w:t>
      </w:r>
      <w:r w:rsidRPr="00712ACB">
        <w:rPr>
          <w:rFonts w:ascii="Century Gothic" w:hAnsi="Century Gothic"/>
          <w:sz w:val="21"/>
          <w:szCs w:val="21"/>
        </w:rPr>
        <w:t>s</w:t>
      </w:r>
      <w:r w:rsidR="005D6736" w:rsidRPr="00712ACB">
        <w:rPr>
          <w:rFonts w:ascii="Century Gothic" w:hAnsi="Century Gothic"/>
          <w:sz w:val="21"/>
          <w:szCs w:val="21"/>
        </w:rPr>
        <w:t xml:space="preserve"> and workers in June</w:t>
      </w:r>
      <w:r w:rsidRPr="00712ACB">
        <w:rPr>
          <w:rFonts w:ascii="Century Gothic" w:hAnsi="Century Gothic"/>
          <w:sz w:val="21"/>
          <w:szCs w:val="21"/>
        </w:rPr>
        <w:t xml:space="preserve"> 2019</w:t>
      </w:r>
      <w:r w:rsidR="005D6736" w:rsidRPr="00712ACB">
        <w:rPr>
          <w:rFonts w:ascii="Century Gothic" w:hAnsi="Century Gothic"/>
          <w:sz w:val="21"/>
          <w:szCs w:val="21"/>
        </w:rPr>
        <w:t xml:space="preserve">. </w:t>
      </w:r>
    </w:p>
    <w:p w14:paraId="047701B9" w14:textId="77777777" w:rsidR="00FB7634" w:rsidRPr="00712ACB" w:rsidRDefault="00FB7634" w:rsidP="004A3787">
      <w:pPr>
        <w:pStyle w:val="ListParagraph"/>
        <w:rPr>
          <w:rFonts w:ascii="Century Gothic" w:hAnsi="Century Gothic"/>
          <w:sz w:val="21"/>
          <w:szCs w:val="21"/>
        </w:rPr>
      </w:pPr>
    </w:p>
    <w:p w14:paraId="59A046A4" w14:textId="77777777" w:rsidR="0052442F" w:rsidRPr="00712ACB" w:rsidRDefault="004A3787" w:rsidP="0052442F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712ACB">
        <w:rPr>
          <w:rFonts w:ascii="Century Gothic" w:hAnsi="Century Gothic"/>
          <w:sz w:val="21"/>
          <w:szCs w:val="21"/>
        </w:rPr>
        <w:t>It r</w:t>
      </w:r>
      <w:r w:rsidR="00FB7634" w:rsidRPr="00712ACB">
        <w:rPr>
          <w:rFonts w:ascii="Century Gothic" w:hAnsi="Century Gothic"/>
          <w:sz w:val="21"/>
          <w:szCs w:val="21"/>
        </w:rPr>
        <w:t xml:space="preserve">ecognizes the need to address the </w:t>
      </w:r>
      <w:r w:rsidR="00FB7634" w:rsidRPr="00712ACB">
        <w:rPr>
          <w:rFonts w:ascii="Century Gothic" w:hAnsi="Century Gothic"/>
          <w:b/>
          <w:bCs/>
          <w:sz w:val="21"/>
          <w:szCs w:val="21"/>
        </w:rPr>
        <w:t xml:space="preserve">root causes </w:t>
      </w:r>
      <w:r w:rsidR="00FB7634" w:rsidRPr="00712ACB">
        <w:rPr>
          <w:rFonts w:ascii="Century Gothic" w:hAnsi="Century Gothic"/>
          <w:sz w:val="21"/>
          <w:szCs w:val="21"/>
        </w:rPr>
        <w:t>of gender-based violence, including gender stereotypes and norms</w:t>
      </w:r>
      <w:r w:rsidRPr="00712ACB">
        <w:rPr>
          <w:rFonts w:ascii="Century Gothic" w:hAnsi="Century Gothic"/>
          <w:sz w:val="21"/>
          <w:szCs w:val="21"/>
        </w:rPr>
        <w:t>.</w:t>
      </w:r>
    </w:p>
    <w:p w14:paraId="74C2E17C" w14:textId="77777777" w:rsidR="0052442F" w:rsidRPr="00712ACB" w:rsidRDefault="0052442F" w:rsidP="0052442F">
      <w:pPr>
        <w:pStyle w:val="ListParagraph"/>
        <w:rPr>
          <w:rFonts w:ascii="Century Gothic" w:hAnsi="Century Gothic"/>
          <w:sz w:val="21"/>
          <w:szCs w:val="21"/>
        </w:rPr>
      </w:pPr>
    </w:p>
    <w:p w14:paraId="27BEAC1E" w14:textId="2E92070D" w:rsidR="00FB7634" w:rsidRPr="00712ACB" w:rsidRDefault="004A3787" w:rsidP="0052442F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712ACB">
        <w:rPr>
          <w:rFonts w:ascii="Century Gothic" w:hAnsi="Century Gothic"/>
          <w:sz w:val="21"/>
          <w:szCs w:val="21"/>
        </w:rPr>
        <w:t>It is b</w:t>
      </w:r>
      <w:r w:rsidR="00FB7634" w:rsidRPr="00712ACB">
        <w:rPr>
          <w:rFonts w:ascii="Century Gothic" w:hAnsi="Century Gothic"/>
          <w:sz w:val="21"/>
          <w:szCs w:val="21"/>
        </w:rPr>
        <w:t>roader than sexual harassment and emphasizes that it is not about sex</w:t>
      </w:r>
      <w:r w:rsidRPr="00712ACB">
        <w:rPr>
          <w:rFonts w:ascii="Century Gothic" w:hAnsi="Century Gothic"/>
          <w:sz w:val="21"/>
          <w:szCs w:val="21"/>
        </w:rPr>
        <w:t>,</w:t>
      </w:r>
      <w:r w:rsidR="00FB7634" w:rsidRPr="00712ACB">
        <w:rPr>
          <w:rFonts w:ascii="Century Gothic" w:hAnsi="Century Gothic"/>
          <w:sz w:val="21"/>
          <w:szCs w:val="21"/>
        </w:rPr>
        <w:t xml:space="preserve"> it’s about </w:t>
      </w:r>
      <w:r w:rsidR="00FB7634" w:rsidRPr="00712ACB">
        <w:rPr>
          <w:rFonts w:ascii="Century Gothic" w:hAnsi="Century Gothic"/>
          <w:b/>
          <w:bCs/>
          <w:sz w:val="21"/>
          <w:szCs w:val="21"/>
        </w:rPr>
        <w:t>power</w:t>
      </w:r>
      <w:r w:rsidRPr="00712ACB">
        <w:rPr>
          <w:rFonts w:ascii="Century Gothic" w:hAnsi="Century Gothic"/>
          <w:sz w:val="21"/>
          <w:szCs w:val="21"/>
        </w:rPr>
        <w:t>.</w:t>
      </w:r>
    </w:p>
    <w:p w14:paraId="1A008B2D" w14:textId="77777777" w:rsidR="004A3787" w:rsidRPr="00712ACB" w:rsidRDefault="004A3787" w:rsidP="004A3787">
      <w:pPr>
        <w:ind w:firstLine="720"/>
        <w:rPr>
          <w:rFonts w:ascii="Century Gothic" w:hAnsi="Century Gothic"/>
          <w:sz w:val="21"/>
          <w:szCs w:val="21"/>
        </w:rPr>
      </w:pPr>
    </w:p>
    <w:p w14:paraId="491D66F7" w14:textId="7750A1A7" w:rsidR="00FB7634" w:rsidRDefault="00FB7634" w:rsidP="0049334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493349">
        <w:rPr>
          <w:rFonts w:ascii="Century Gothic" w:hAnsi="Century Gothic"/>
          <w:sz w:val="21"/>
          <w:szCs w:val="21"/>
        </w:rPr>
        <w:t xml:space="preserve">Ratifying countries must adopt an </w:t>
      </w:r>
      <w:r w:rsidRPr="00493349">
        <w:rPr>
          <w:rFonts w:ascii="Century Gothic" w:hAnsi="Century Gothic"/>
          <w:b/>
          <w:bCs/>
          <w:sz w:val="21"/>
          <w:szCs w:val="21"/>
        </w:rPr>
        <w:t xml:space="preserve">inclusive, integrated and gender-responsive approach </w:t>
      </w:r>
      <w:r w:rsidRPr="00493349">
        <w:rPr>
          <w:rFonts w:ascii="Century Gothic" w:hAnsi="Century Gothic"/>
          <w:sz w:val="21"/>
          <w:szCs w:val="21"/>
        </w:rPr>
        <w:t xml:space="preserve">to prevent and eliminate violence and harassment including </w:t>
      </w:r>
      <w:r w:rsidRPr="00493349">
        <w:rPr>
          <w:rFonts w:ascii="Century Gothic" w:hAnsi="Century Gothic"/>
          <w:b/>
          <w:bCs/>
          <w:sz w:val="21"/>
          <w:szCs w:val="21"/>
        </w:rPr>
        <w:t>access to remedy</w:t>
      </w:r>
      <w:r w:rsidR="00712ACB" w:rsidRPr="00493349">
        <w:rPr>
          <w:rFonts w:ascii="Century Gothic" w:hAnsi="Century Gothic"/>
          <w:sz w:val="21"/>
          <w:szCs w:val="21"/>
        </w:rPr>
        <w:t>.</w:t>
      </w:r>
    </w:p>
    <w:p w14:paraId="6B5683B8" w14:textId="77777777" w:rsidR="00493349" w:rsidRDefault="00493349" w:rsidP="00493349">
      <w:pPr>
        <w:pStyle w:val="ListParagraph"/>
        <w:rPr>
          <w:rFonts w:ascii="Century Gothic" w:hAnsi="Century Gothic"/>
          <w:sz w:val="21"/>
          <w:szCs w:val="21"/>
        </w:rPr>
      </w:pPr>
    </w:p>
    <w:p w14:paraId="381D673E" w14:textId="20D325C4" w:rsidR="00493349" w:rsidRPr="00493349" w:rsidRDefault="00493349" w:rsidP="001107A8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493349">
        <w:rPr>
          <w:rFonts w:ascii="Century Gothic" w:hAnsi="Century Gothic"/>
          <w:sz w:val="21"/>
          <w:szCs w:val="21"/>
        </w:rPr>
        <w:t xml:space="preserve">A </w:t>
      </w:r>
      <w:hyperlink r:id="rId19" w:history="1">
        <w:r w:rsidRPr="00493349">
          <w:rPr>
            <w:rStyle w:val="Hyperlink"/>
            <w:rFonts w:ascii="Century Gothic" w:hAnsi="Century Gothic"/>
            <w:sz w:val="21"/>
            <w:szCs w:val="21"/>
          </w:rPr>
          <w:t>landmark agreement</w:t>
        </w:r>
      </w:hyperlink>
      <w:r w:rsidRPr="00493349">
        <w:rPr>
          <w:rFonts w:ascii="Century Gothic" w:hAnsi="Century Gothic"/>
          <w:sz w:val="21"/>
          <w:szCs w:val="21"/>
        </w:rPr>
        <w:t xml:space="preserve"> negotiated in August 2019 among unions, women’s rights groups, </w:t>
      </w:r>
      <w:r>
        <w:rPr>
          <w:rFonts w:ascii="Century Gothic" w:hAnsi="Century Gothic"/>
          <w:sz w:val="21"/>
          <w:szCs w:val="21"/>
        </w:rPr>
        <w:t xml:space="preserve">NGOs, </w:t>
      </w:r>
      <w:r w:rsidRPr="00493349">
        <w:rPr>
          <w:rFonts w:ascii="Century Gothic" w:hAnsi="Century Gothic"/>
          <w:sz w:val="21"/>
          <w:szCs w:val="21"/>
        </w:rPr>
        <w:t xml:space="preserve">Levi Strauss, The Children’s Place and Kontoor Brands covering more than 10,000 Lesotho garment workers is the first-ever binding agreement to </w:t>
      </w:r>
      <w:r w:rsidRPr="00493349">
        <w:rPr>
          <w:rFonts w:ascii="Century Gothic" w:hAnsi="Century Gothic"/>
          <w:sz w:val="21"/>
          <w:szCs w:val="21"/>
        </w:rPr>
        <w:t xml:space="preserve">incorporate </w:t>
      </w:r>
      <w:r w:rsidRPr="00493349">
        <w:rPr>
          <w:rFonts w:ascii="Century Gothic" w:hAnsi="Century Gothic"/>
          <w:sz w:val="21"/>
          <w:szCs w:val="21"/>
        </w:rPr>
        <w:t>the</w:t>
      </w:r>
      <w:r w:rsidRPr="00493349">
        <w:rPr>
          <w:rFonts w:ascii="Century Gothic" w:hAnsi="Century Gothic"/>
          <w:sz w:val="21"/>
          <w:szCs w:val="21"/>
        </w:rPr>
        <w:t xml:space="preserve"> new global </w:t>
      </w:r>
      <w:r w:rsidRPr="00493349">
        <w:rPr>
          <w:rFonts w:ascii="Century Gothic" w:hAnsi="Century Gothic"/>
          <w:sz w:val="21"/>
          <w:szCs w:val="21"/>
        </w:rPr>
        <w:t>treaty</w:t>
      </w:r>
      <w:r w:rsidRPr="00493349">
        <w:rPr>
          <w:rFonts w:ascii="Century Gothic" w:hAnsi="Century Gothic"/>
          <w:sz w:val="21"/>
          <w:szCs w:val="21"/>
        </w:rPr>
        <w:t xml:space="preserve"> barring violence and harassment at work</w:t>
      </w:r>
      <w:r w:rsidRPr="00493349">
        <w:rPr>
          <w:rFonts w:ascii="Century Gothic" w:hAnsi="Century Gothic"/>
          <w:sz w:val="21"/>
          <w:szCs w:val="21"/>
        </w:rPr>
        <w:t>.</w:t>
      </w:r>
    </w:p>
    <w:sectPr w:rsidR="00493349" w:rsidRPr="00493349" w:rsidSect="00493349">
      <w:head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78F0" w14:textId="77777777" w:rsidR="00367854" w:rsidRDefault="00367854" w:rsidP="00493349">
      <w:r>
        <w:separator/>
      </w:r>
    </w:p>
  </w:endnote>
  <w:endnote w:type="continuationSeparator" w:id="0">
    <w:p w14:paraId="6D3737EC" w14:textId="77777777" w:rsidR="00367854" w:rsidRDefault="00367854" w:rsidP="0049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6635" w14:textId="77777777" w:rsidR="00367854" w:rsidRDefault="00367854" w:rsidP="00493349">
      <w:r>
        <w:separator/>
      </w:r>
    </w:p>
  </w:footnote>
  <w:footnote w:type="continuationSeparator" w:id="0">
    <w:p w14:paraId="3E9D08A2" w14:textId="77777777" w:rsidR="00367854" w:rsidRDefault="00367854" w:rsidP="0049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8EBB" w14:textId="48EAD2B6" w:rsidR="00493349" w:rsidRDefault="00493349">
    <w:pPr>
      <w:pStyle w:val="Header"/>
    </w:pPr>
    <w:r>
      <w:rPr>
        <w:noProof/>
      </w:rPr>
      <w:drawing>
        <wp:inline distT="0" distB="0" distL="0" distR="0" wp14:anchorId="7B5F6889" wp14:editId="66CC5DD5">
          <wp:extent cx="552450" cy="54890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13" cy="56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160F"/>
    <w:multiLevelType w:val="hybridMultilevel"/>
    <w:tmpl w:val="E84EB5DA"/>
    <w:lvl w:ilvl="0" w:tplc="A9885114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1F8"/>
    <w:multiLevelType w:val="hybridMultilevel"/>
    <w:tmpl w:val="B3123AC6"/>
    <w:lvl w:ilvl="0" w:tplc="0FB86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AB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C1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A2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AE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6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44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EB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D77855"/>
    <w:multiLevelType w:val="hybridMultilevel"/>
    <w:tmpl w:val="4322FB44"/>
    <w:lvl w:ilvl="0" w:tplc="3CECB424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0B83"/>
    <w:multiLevelType w:val="hybridMultilevel"/>
    <w:tmpl w:val="B6509F16"/>
    <w:lvl w:ilvl="0" w:tplc="7752E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2E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8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6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0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60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AB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FC639D"/>
    <w:multiLevelType w:val="hybridMultilevel"/>
    <w:tmpl w:val="81E00CA0"/>
    <w:lvl w:ilvl="0" w:tplc="BF4C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225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43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A1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6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8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6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5B1CEE"/>
    <w:multiLevelType w:val="hybridMultilevel"/>
    <w:tmpl w:val="D386356C"/>
    <w:lvl w:ilvl="0" w:tplc="CBA4020C">
      <w:numFmt w:val="bullet"/>
      <w:lvlText w:val=""/>
      <w:lvlJc w:val="left"/>
      <w:pPr>
        <w:ind w:left="108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D5C61"/>
    <w:multiLevelType w:val="hybridMultilevel"/>
    <w:tmpl w:val="85080D0A"/>
    <w:lvl w:ilvl="0" w:tplc="7A06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E8F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A7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8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8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8D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8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CA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A0"/>
    <w:rsid w:val="000347E9"/>
    <w:rsid w:val="00042CC1"/>
    <w:rsid w:val="000B6BAA"/>
    <w:rsid w:val="00164C4B"/>
    <w:rsid w:val="001A2D79"/>
    <w:rsid w:val="00214BB2"/>
    <w:rsid w:val="00257E3F"/>
    <w:rsid w:val="00267971"/>
    <w:rsid w:val="00290C63"/>
    <w:rsid w:val="00296A4F"/>
    <w:rsid w:val="003235CC"/>
    <w:rsid w:val="00341692"/>
    <w:rsid w:val="00367854"/>
    <w:rsid w:val="00391D59"/>
    <w:rsid w:val="003E1702"/>
    <w:rsid w:val="0040506C"/>
    <w:rsid w:val="004649F5"/>
    <w:rsid w:val="00492E21"/>
    <w:rsid w:val="00493349"/>
    <w:rsid w:val="004A3787"/>
    <w:rsid w:val="004A5FC4"/>
    <w:rsid w:val="004D0644"/>
    <w:rsid w:val="0052442F"/>
    <w:rsid w:val="0052581A"/>
    <w:rsid w:val="00551869"/>
    <w:rsid w:val="005553E8"/>
    <w:rsid w:val="00563DA6"/>
    <w:rsid w:val="005B229B"/>
    <w:rsid w:val="005D6736"/>
    <w:rsid w:val="0069048D"/>
    <w:rsid w:val="006D5696"/>
    <w:rsid w:val="00712ACB"/>
    <w:rsid w:val="00724A07"/>
    <w:rsid w:val="007313F7"/>
    <w:rsid w:val="008750B2"/>
    <w:rsid w:val="00915DF2"/>
    <w:rsid w:val="0093742C"/>
    <w:rsid w:val="009A5D91"/>
    <w:rsid w:val="009C1229"/>
    <w:rsid w:val="00A367C1"/>
    <w:rsid w:val="00A455D2"/>
    <w:rsid w:val="00A564BD"/>
    <w:rsid w:val="00A87C3C"/>
    <w:rsid w:val="00AB7BCE"/>
    <w:rsid w:val="00B03695"/>
    <w:rsid w:val="00B438E5"/>
    <w:rsid w:val="00B72865"/>
    <w:rsid w:val="00BF0701"/>
    <w:rsid w:val="00C0346A"/>
    <w:rsid w:val="00C07C84"/>
    <w:rsid w:val="00CD7926"/>
    <w:rsid w:val="00D0492F"/>
    <w:rsid w:val="00D06B61"/>
    <w:rsid w:val="00D442FF"/>
    <w:rsid w:val="00D630C8"/>
    <w:rsid w:val="00DA38D4"/>
    <w:rsid w:val="00DA58B8"/>
    <w:rsid w:val="00DC7713"/>
    <w:rsid w:val="00E1596D"/>
    <w:rsid w:val="00E525A0"/>
    <w:rsid w:val="00EE037C"/>
    <w:rsid w:val="00F43894"/>
    <w:rsid w:val="00FB7634"/>
    <w:rsid w:val="00FE0E31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9DA6"/>
  <w15:chartTrackingRefBased/>
  <w15:docId w15:val="{176369F3-F4D3-470E-AC30-6AA9421B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706458953300069887gmail-m8593174550772802403gmail-msolistparagraph">
    <w:name w:val="m_-4706458953300069887gmail-m_8593174550772802403gmail-msolistparagraph"/>
    <w:basedOn w:val="Normal"/>
    <w:rsid w:val="00E525A0"/>
    <w:pPr>
      <w:spacing w:before="100" w:beforeAutospacing="1" w:after="100" w:afterAutospacing="1"/>
    </w:pPr>
    <w:rPr>
      <w:rFonts w:eastAsia="Times New Roman"/>
    </w:rPr>
  </w:style>
  <w:style w:type="character" w:customStyle="1" w:styleId="m-4706458953300069887gmail-m8593174550772802403gmail-msofootnotereference">
    <w:name w:val="m_-4706458953300069887gmail-m_8593174550772802403gmail-msofootnotereference"/>
    <w:basedOn w:val="DefaultParagraphFont"/>
    <w:rsid w:val="00E525A0"/>
  </w:style>
  <w:style w:type="paragraph" w:customStyle="1" w:styleId="Default">
    <w:name w:val="Default"/>
    <w:rsid w:val="000B6BAA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034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6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3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3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7634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3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49"/>
  </w:style>
  <w:style w:type="paragraph" w:styleId="Footer">
    <w:name w:val="footer"/>
    <w:basedOn w:val="Normal"/>
    <w:link w:val="FooterChar"/>
    <w:uiPriority w:val="99"/>
    <w:unhideWhenUsed/>
    <w:rsid w:val="0049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89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31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93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0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news/2019/02/12/combating-sexual-harassment-garment-industry" TargetMode="External"/><Relationship Id="rId13" Type="http://schemas.openxmlformats.org/officeDocument/2006/relationships/hyperlink" Target="https://www.care.org.au/preventing-sexual-harassment/" TargetMode="External"/><Relationship Id="rId18" Type="http://schemas.openxmlformats.org/officeDocument/2006/relationships/hyperlink" Target="https://www.ilo.org/dyn/normlex/en/f?p=NORMLEXPUB:12100:0::NO::P12100_ILO_CODE:C1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aronwant.org/sweatshops-bangladesh" TargetMode="External"/><Relationship Id="rId17" Type="http://schemas.openxmlformats.org/officeDocument/2006/relationships/hyperlink" Target="https://www.solidaritycenter.org/wp-content/uploads/2019/06/Gender.Cambodia-report.6.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lidaritycenter.org/wp-content/uploads/2019/06/Gender.Indonesia-report.6.19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women.org/en/what-we-do/economic-empowerment/facts-and-figur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tionaid.org/news/2019/80-garment-workers-bangladesh-have-experienced-or-witnessed-sexual-violence-and" TargetMode="External"/><Relationship Id="rId10" Type="http://schemas.openxmlformats.org/officeDocument/2006/relationships/hyperlink" Target="http://www.thefashionlaw.com/home/fashion-revolution-week-fashion-by-the-numbers" TargetMode="External"/><Relationship Id="rId19" Type="http://schemas.openxmlformats.org/officeDocument/2006/relationships/hyperlink" Target="https://www.solidaritycenter.org/pact-combats-gender-violence-in-lesotho-fact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o.org/wcmsp5/groups/public/---ed_norm/---relconf/documents/meetingdocument/wcms_533534.pdf" TargetMode="External"/><Relationship Id="rId14" Type="http://schemas.openxmlformats.org/officeDocument/2006/relationships/hyperlink" Target="https://www.solidaritycenter.org/wp-content/uploads/2014/11/Swaziland.Survey-story-and-graphics.8.2014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Connell</dc:creator>
  <cp:keywords/>
  <dc:description/>
  <cp:lastModifiedBy>Tula Connell</cp:lastModifiedBy>
  <cp:revision>3</cp:revision>
  <dcterms:created xsi:type="dcterms:W3CDTF">2019-08-16T12:27:00Z</dcterms:created>
  <dcterms:modified xsi:type="dcterms:W3CDTF">2019-08-16T13:01:00Z</dcterms:modified>
</cp:coreProperties>
</file>