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123941" w:rsidRPr="00123941" w:rsidTr="0012394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123941" w:rsidRPr="00123941">
              <w:trPr>
                <w:tblCellSpacing w:w="0" w:type="dxa"/>
              </w:trPr>
              <w:tc>
                <w:tcPr>
                  <w:tcW w:w="7164" w:type="dxa"/>
                  <w:hideMark/>
                </w:tcPr>
                <w:tbl>
                  <w:tblPr>
                    <w:tblW w:w="8376" w:type="dxa"/>
                    <w:tblCellSpacing w:w="0" w:type="dxa"/>
                    <w:tblCellMar>
                      <w:left w:w="0" w:type="dxa"/>
                      <w:right w:w="0" w:type="dxa"/>
                    </w:tblCellMar>
                    <w:tblLook w:val="04A0" w:firstRow="1" w:lastRow="0" w:firstColumn="1" w:lastColumn="0" w:noHBand="0" w:noVBand="1"/>
                  </w:tblPr>
                  <w:tblGrid>
                    <w:gridCol w:w="9016"/>
                    <w:gridCol w:w="344"/>
                  </w:tblGrid>
                  <w:tr w:rsidR="00123941" w:rsidRPr="00123941" w:rsidTr="00123941">
                    <w:trPr>
                      <w:tblCellSpacing w:w="0" w:type="dxa"/>
                    </w:trPr>
                    <w:tc>
                      <w:tcPr>
                        <w:tcW w:w="8376" w:type="dxa"/>
                        <w:hideMark/>
                      </w:tcPr>
                      <w:p w:rsidR="00123941" w:rsidRPr="00123941" w:rsidRDefault="00123941" w:rsidP="00123941">
                        <w:pPr>
                          <w:spacing w:line="240" w:lineRule="atLeast"/>
                          <w:rPr>
                            <w:rFonts w:ascii="Tahoma" w:eastAsia="Times New Roman" w:hAnsi="Tahoma" w:cs="Tahoma"/>
                            <w:color w:val="000000"/>
                            <w:sz w:val="17"/>
                            <w:szCs w:val="17"/>
                          </w:rPr>
                        </w:pPr>
                      </w:p>
                      <w:tbl>
                        <w:tblPr>
                          <w:tblW w:w="5000" w:type="pct"/>
                          <w:tblCellSpacing w:w="0" w:type="dxa"/>
                          <w:tblCellMar>
                            <w:left w:w="0" w:type="dxa"/>
                            <w:right w:w="0" w:type="dxa"/>
                          </w:tblCellMar>
                          <w:tblLook w:val="04A0" w:firstRow="1" w:lastRow="0" w:firstColumn="1" w:lastColumn="0" w:noHBand="0" w:noVBand="1"/>
                        </w:tblPr>
                        <w:tblGrid>
                          <w:gridCol w:w="9016"/>
                        </w:tblGrid>
                        <w:tr w:rsidR="00123941" w:rsidRPr="00123941">
                          <w:trPr>
                            <w:tblCellSpacing w:w="0" w:type="dxa"/>
                          </w:trPr>
                          <w:tc>
                            <w:tcPr>
                              <w:tcW w:w="0" w:type="auto"/>
                              <w:vAlign w:val="center"/>
                              <w:hideMark/>
                            </w:tcPr>
                            <w:p w:rsidR="00123941" w:rsidRPr="00123941" w:rsidRDefault="00123941" w:rsidP="00123941">
                              <w:pPr>
                                <w:spacing w:line="210" w:lineRule="atLeast"/>
                                <w:rPr>
                                  <w:rFonts w:ascii="Tahoma" w:eastAsia="Times New Roman" w:hAnsi="Tahoma" w:cs="Tahoma"/>
                                  <w:color w:val="AFAEA3"/>
                                  <w:sz w:val="15"/>
                                  <w:szCs w:val="15"/>
                                </w:rPr>
                              </w:pPr>
                              <w:hyperlink r:id="rId6" w:history="1">
                                <w:r w:rsidRPr="00123941">
                                  <w:rPr>
                                    <w:rFonts w:ascii="Tahoma" w:eastAsia="Times New Roman" w:hAnsi="Tahoma" w:cs="Tahoma"/>
                                    <w:color w:val="AFAEA3"/>
                                    <w:sz w:val="15"/>
                                    <w:szCs w:val="15"/>
                                  </w:rPr>
                                  <w:t>Home</w:t>
                                </w:r>
                              </w:hyperlink>
                              <w:r w:rsidRPr="00123941">
                                <w:rPr>
                                  <w:rFonts w:ascii="Tahoma" w:eastAsia="Times New Roman" w:hAnsi="Tahoma" w:cs="Tahoma"/>
                                  <w:color w:val="AFAEA3"/>
                                  <w:sz w:val="15"/>
                                  <w:szCs w:val="15"/>
                                </w:rPr>
                                <w:t> &gt; </w:t>
                              </w:r>
                              <w:hyperlink r:id="rId7" w:history="1">
                                <w:r w:rsidRPr="00123941">
                                  <w:rPr>
                                    <w:rFonts w:ascii="Tahoma" w:eastAsia="Times New Roman" w:hAnsi="Tahoma" w:cs="Tahoma"/>
                                    <w:color w:val="AFAEA3"/>
                                    <w:sz w:val="15"/>
                                    <w:szCs w:val="15"/>
                                  </w:rPr>
                                  <w:t>Our Programs </w:t>
                                </w:r>
                              </w:hyperlink>
                              <w:r w:rsidRPr="00123941">
                                <w:rPr>
                                  <w:rFonts w:ascii="Tahoma" w:eastAsia="Times New Roman" w:hAnsi="Tahoma" w:cs="Tahoma"/>
                                  <w:color w:val="AFAEA3"/>
                                  <w:sz w:val="15"/>
                                  <w:szCs w:val="15"/>
                                </w:rPr>
                                <w:t>&gt; </w:t>
                              </w:r>
                              <w:hyperlink r:id="rId8" w:history="1">
                                <w:r w:rsidRPr="00123941">
                                  <w:rPr>
                                    <w:rFonts w:ascii="Tahoma" w:eastAsia="Times New Roman" w:hAnsi="Tahoma" w:cs="Tahoma"/>
                                    <w:color w:val="AFAEA3"/>
                                    <w:sz w:val="15"/>
                                    <w:szCs w:val="15"/>
                                  </w:rPr>
                                  <w:t>Informal Economy</w:t>
                                </w:r>
                              </w:hyperlink>
                              <w:r w:rsidRPr="00123941">
                                <w:rPr>
                                  <w:rFonts w:ascii="Tahoma" w:eastAsia="Times New Roman" w:hAnsi="Tahoma" w:cs="Tahoma"/>
                                  <w:color w:val="AFAEA3"/>
                                  <w:sz w:val="15"/>
                                  <w:szCs w:val="15"/>
                                </w:rPr>
                                <w:t> &gt; Politics of Informality</w:t>
                              </w:r>
                            </w:p>
                          </w:tc>
                        </w:tr>
                        <w:tr w:rsidR="00123941" w:rsidRPr="00123941">
                          <w:trPr>
                            <w:trHeight w:val="540"/>
                            <w:tblCellSpacing w:w="0" w:type="dxa"/>
                          </w:trPr>
                          <w:tc>
                            <w:tcPr>
                              <w:tcW w:w="0" w:type="auto"/>
                              <w:vAlign w:val="bottom"/>
                              <w:hideMark/>
                            </w:tcPr>
                            <w:tbl>
                              <w:tblPr>
                                <w:tblW w:w="5000" w:type="pct"/>
                                <w:tblCellSpacing w:w="0" w:type="dxa"/>
                                <w:tblCellMar>
                                  <w:left w:w="0" w:type="dxa"/>
                                  <w:right w:w="0" w:type="dxa"/>
                                </w:tblCellMar>
                                <w:tblLook w:val="04A0" w:firstRow="1" w:lastRow="0" w:firstColumn="1" w:lastColumn="0" w:noHBand="0" w:noVBand="1"/>
                              </w:tblPr>
                              <w:tblGrid>
                                <w:gridCol w:w="255"/>
                                <w:gridCol w:w="8761"/>
                              </w:tblGrid>
                              <w:tr w:rsidR="00123941" w:rsidRPr="00123941">
                                <w:trPr>
                                  <w:tblCellSpacing w:w="0" w:type="dxa"/>
                                </w:trPr>
                                <w:tc>
                                  <w:tcPr>
                                    <w:tcW w:w="0" w:type="auto"/>
                                    <w:gridSpan w:val="2"/>
                                    <w:tcMar>
                                      <w:top w:w="0" w:type="dxa"/>
                                      <w:left w:w="0" w:type="dxa"/>
                                      <w:bottom w:w="0" w:type="dxa"/>
                                      <w:right w:w="375" w:type="dxa"/>
                                    </w:tcMar>
                                    <w:vAlign w:val="center"/>
                                    <w:hideMark/>
                                  </w:tcPr>
                                  <w:p w:rsidR="00123941" w:rsidRPr="00123941" w:rsidRDefault="00123941" w:rsidP="00123941">
                                    <w:pPr>
                                      <w:spacing w:line="360" w:lineRule="atLeast"/>
                                      <w:rPr>
                                        <w:rFonts w:ascii="Tahoma" w:eastAsia="Times New Roman" w:hAnsi="Tahoma" w:cs="Tahoma"/>
                                        <w:b/>
                                        <w:bCs/>
                                        <w:color w:val="463221"/>
                                        <w:sz w:val="27"/>
                                        <w:szCs w:val="27"/>
                                      </w:rPr>
                                    </w:pPr>
                                    <w:r w:rsidRPr="00123941">
                                      <w:rPr>
                                        <w:rFonts w:ascii="Tahoma" w:eastAsia="Times New Roman" w:hAnsi="Tahoma" w:cs="Tahoma"/>
                                        <w:b/>
                                        <w:bCs/>
                                        <w:color w:val="463221"/>
                                        <w:sz w:val="27"/>
                                        <w:szCs w:val="27"/>
                                      </w:rPr>
                                      <w:t>Politics of Informality</w:t>
                                    </w:r>
                                  </w:p>
                                </w:tc>
                              </w:tr>
                              <w:tr w:rsidR="00123941" w:rsidRPr="00123941">
                                <w:trPr>
                                  <w:trHeight w:val="144"/>
                                  <w:tblCellSpacing w:w="0" w:type="dxa"/>
                                </w:trPr>
                                <w:tc>
                                  <w:tcPr>
                                    <w:tcW w:w="0" w:type="auto"/>
                                    <w:vAlign w:val="center"/>
                                    <w:hideMark/>
                                  </w:tcPr>
                                  <w:p w:rsidR="00123941" w:rsidRPr="00123941" w:rsidRDefault="00123941" w:rsidP="00123941">
                                    <w:pPr>
                                      <w:spacing w:line="144"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7620" cy="114300"/>
                                          <wp:effectExtent l="0" t="0" r="0" b="0"/>
                                          <wp:docPr id="4" name="Picture 4"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lidaritycenter.org/images/1px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114300"/>
                                                  </a:xfrm>
                                                  <a:prstGeom prst="rect">
                                                    <a:avLst/>
                                                  </a:prstGeom>
                                                  <a:noFill/>
                                                  <a:ln>
                                                    <a:noFill/>
                                                  </a:ln>
                                                </pic:spPr>
                                              </pic:pic>
                                            </a:graphicData>
                                          </a:graphic>
                                        </wp:inline>
                                      </w:drawing>
                                    </w:r>
                                  </w:p>
                                </w:tc>
                                <w:tc>
                                  <w:tcPr>
                                    <w:tcW w:w="0" w:type="auto"/>
                                    <w:hideMark/>
                                  </w:tcPr>
                                  <w:p w:rsidR="00123941" w:rsidRPr="00123941" w:rsidRDefault="00123941" w:rsidP="00123941">
                                    <w:pPr>
                                      <w:spacing w:line="210" w:lineRule="atLeast"/>
                                      <w:jc w:val="right"/>
                                      <w:rPr>
                                        <w:rFonts w:ascii="Tahoma" w:eastAsia="Times New Roman" w:hAnsi="Tahoma" w:cs="Tahoma"/>
                                        <w:color w:val="AFAEA3"/>
                                        <w:sz w:val="15"/>
                                        <w:szCs w:val="15"/>
                                      </w:rPr>
                                    </w:pPr>
                                    <w:hyperlink r:id="rId10" w:history="1">
                                      <w:r w:rsidRPr="00123941">
                                        <w:rPr>
                                          <w:rFonts w:ascii="Tahoma" w:eastAsia="Times New Roman" w:hAnsi="Tahoma" w:cs="Tahoma"/>
                                          <w:color w:val="AFAEA3"/>
                                          <w:sz w:val="15"/>
                                          <w:szCs w:val="15"/>
                                        </w:rPr>
                                        <w:t>Print This Page</w:t>
                                      </w:r>
                                    </w:hyperlink>
                                    <w:r w:rsidRPr="00123941">
                                      <w:rPr>
                                        <w:rFonts w:ascii="Tahoma" w:eastAsia="Times New Roman" w:hAnsi="Tahoma" w:cs="Tahoma"/>
                                        <w:color w:val="AFAEA3"/>
                                        <w:sz w:val="15"/>
                                        <w:szCs w:val="15"/>
                                      </w:rPr>
                                      <w:t> | </w:t>
                                    </w:r>
                                    <w:hyperlink r:id="rId11" w:history="1">
                                      <w:r w:rsidRPr="00123941">
                                        <w:rPr>
                                          <w:rFonts w:ascii="Tahoma" w:eastAsia="Times New Roman" w:hAnsi="Tahoma" w:cs="Tahoma"/>
                                          <w:color w:val="AFAEA3"/>
                                          <w:sz w:val="15"/>
                                          <w:szCs w:val="15"/>
                                        </w:rPr>
                                        <w:t>Email to a Friend</w:t>
                                      </w:r>
                                    </w:hyperlink>
                                  </w:p>
                                </w:tc>
                              </w:tr>
                            </w:tbl>
                            <w:p w:rsidR="00123941" w:rsidRPr="00123941" w:rsidRDefault="00123941" w:rsidP="00123941">
                              <w:pPr>
                                <w:spacing w:line="240" w:lineRule="atLeast"/>
                                <w:rPr>
                                  <w:rFonts w:ascii="Tahoma" w:eastAsia="Times New Roman" w:hAnsi="Tahoma" w:cs="Tahoma"/>
                                  <w:color w:val="000000"/>
                                  <w:sz w:val="17"/>
                                  <w:szCs w:val="17"/>
                                </w:rPr>
                              </w:pPr>
                            </w:p>
                          </w:tc>
                        </w:tr>
                        <w:tr w:rsidR="00123941" w:rsidRPr="00123941">
                          <w:trPr>
                            <w:tblCellSpacing w:w="0" w:type="dxa"/>
                          </w:trPr>
                          <w:tc>
                            <w:tcPr>
                              <w:tcW w:w="0" w:type="auto"/>
                              <w:vAlign w:val="center"/>
                              <w:hideMark/>
                            </w:tcPr>
                            <w:p w:rsidR="00123941" w:rsidRPr="00123941" w:rsidRDefault="00123941" w:rsidP="00123941">
                              <w:pPr>
                                <w:spacing w:before="105" w:after="15"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pict>
                                  <v:rect id="_x0000_i1025" style="width:485.5pt;height:3pt" o:hrpct="0" o:hralign="center" o:hrstd="t" o:hrnoshade="t" o:hr="t" fillcolor="#f1f1dc" stroked="f"/>
                                </w:pict>
                              </w:r>
                            </w:p>
                          </w:tc>
                        </w:tr>
                        <w:tr w:rsidR="00123941" w:rsidRPr="00123941">
                          <w:trPr>
                            <w:tblCellSpacing w:w="0" w:type="dxa"/>
                          </w:trPr>
                          <w:tc>
                            <w:tcPr>
                              <w:tcW w:w="0" w:type="auto"/>
                              <w:hideMark/>
                            </w:tcPr>
                            <w:p w:rsidR="00123941" w:rsidRPr="00123941" w:rsidRDefault="00123941" w:rsidP="00123941">
                              <w:pPr>
                                <w:spacing w:before="100" w:beforeAutospacing="1" w:after="100" w:afterAutospacing="1" w:line="240" w:lineRule="atLeast"/>
                                <w:jc w:val="center"/>
                                <w:rPr>
                                  <w:rFonts w:ascii="Tahoma" w:eastAsia="Times New Roman" w:hAnsi="Tahoma" w:cs="Tahoma"/>
                                  <w:color w:val="000000"/>
                                  <w:sz w:val="17"/>
                                  <w:szCs w:val="17"/>
                                </w:rPr>
                              </w:pPr>
                              <w:r w:rsidRPr="00123941">
                                <w:rPr>
                                  <w:rFonts w:ascii="Tahoma" w:eastAsia="Times New Roman" w:hAnsi="Tahoma" w:cs="Tahoma"/>
                                  <w:color w:val="000000"/>
                                  <w:sz w:val="17"/>
                                  <w:szCs w:val="17"/>
                                </w:rPr>
                                <w:t> </w:t>
                              </w:r>
                              <w:r>
                                <w:rPr>
                                  <w:rFonts w:ascii="Tahoma" w:eastAsia="Times New Roman" w:hAnsi="Tahoma" w:cs="Tahoma"/>
                                  <w:noProof/>
                                  <w:color w:val="000000"/>
                                  <w:sz w:val="17"/>
                                  <w:szCs w:val="17"/>
                                </w:rPr>
                                <w:drawing>
                                  <wp:inline distT="0" distB="0" distL="0" distR="0">
                                    <wp:extent cx="5715000" cy="1828800"/>
                                    <wp:effectExtent l="0" t="0" r="0" b="0"/>
                                    <wp:docPr id="3" name="Picture 3" descr="http://www.solidaritycenter.org/content_images/infeconconf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lidaritycenter.org/content_images/infeconconf_bann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1828800"/>
                                            </a:xfrm>
                                            <a:prstGeom prst="rect">
                                              <a:avLst/>
                                            </a:prstGeom>
                                            <a:noFill/>
                                            <a:ln>
                                              <a:noFill/>
                                            </a:ln>
                                          </pic:spPr>
                                        </pic:pic>
                                      </a:graphicData>
                                    </a:graphic>
                                  </wp:inline>
                                </w:drawing>
                              </w:r>
                            </w:p>
                            <w:p w:rsidR="00123941" w:rsidRPr="00123941" w:rsidRDefault="00123941" w:rsidP="00123941">
                              <w:pPr>
                                <w:spacing w:before="100" w:beforeAutospacing="1" w:after="100" w:afterAutospacing="1" w:line="240" w:lineRule="atLeast"/>
                                <w:jc w:val="center"/>
                                <w:rPr>
                                  <w:rFonts w:ascii="Tahoma" w:eastAsia="Times New Roman" w:hAnsi="Tahoma" w:cs="Tahoma"/>
                                  <w:color w:val="000000"/>
                                  <w:sz w:val="17"/>
                                  <w:szCs w:val="17"/>
                                </w:rPr>
                              </w:pPr>
                              <w:r w:rsidRPr="00123941">
                                <w:rPr>
                                  <w:rFonts w:ascii="Tahoma" w:eastAsia="Times New Roman" w:hAnsi="Tahoma" w:cs="Tahoma"/>
                                  <w:b/>
                                  <w:bCs/>
                                  <w:color w:val="7C1F0B"/>
                                  <w:sz w:val="21"/>
                                  <w:szCs w:val="21"/>
                                </w:rPr>
                                <w:t>Workshop: The Politics of “Informality” and Economic Policy</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b/>
                                  <w:bCs/>
                                  <w:color w:val="000000"/>
                                  <w:sz w:val="17"/>
                                  <w:szCs w:val="17"/>
                                </w:rPr>
                                <w:t>Facilitators: Michael Schwaabe (Solidarity Center) and Habib Rajeb (UGTT, Tunisian General Trade Union)</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This discussion looked at the informal economy using the model of a tree growing within the environment of the global economy. The group analyzed the extent to which each element of the model is subject to real democratic control and oversight, that is: Is the global economy/capital subject to democratic control? </w:t>
                              </w:r>
                              <w:r w:rsidRPr="00123941">
                                <w:rPr>
                                  <w:rFonts w:ascii="Tahoma" w:eastAsia="Times New Roman" w:hAnsi="Tahoma" w:cs="Tahoma"/>
                                  <w:color w:val="000000"/>
                                  <w:sz w:val="17"/>
                                  <w:szCs w:val="17"/>
                                </w:rPr>
                                <w:br/>
                                <w:t>The major elements are the bedrock, soil, climate, and the tree itself.</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b/>
                                  <w:bCs/>
                                  <w:color w:val="000000"/>
                                  <w:sz w:val="17"/>
                                  <w:szCs w:val="17"/>
                                </w:rPr>
                                <w:t>Bedrock</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The national economy. It is partly influenced by political choices as well as other factors such as history, geography, resources, population, and level of economic development.</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b/>
                                  <w:bCs/>
                                  <w:color w:val="000000"/>
                                  <w:sz w:val="17"/>
                                  <w:szCs w:val="17"/>
                                </w:rPr>
                                <w:t>Soil</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An accountable state providing services financed by taxes levied on an economically active population. However, everything is political. The determination regarding how and to whom the state is accountable is political. Decisions regarding the nature and extent of state services are political. Decisions as to whether and to what extent the state relies on its population for finance are political. The tax burden and the mechanisms for levying them are also political decisions. Lastly, decisions regarding who can participate in the economy and how are political.</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b/>
                                  <w:bCs/>
                                  <w:color w:val="000000"/>
                                  <w:sz w:val="17"/>
                                  <w:szCs w:val="17"/>
                                </w:rPr>
                                <w:t>Climate</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The global economy. The current climate is marked by a greater global workforce affected be decreased regulation, an International legal and regulatory framework, and global population growth and migration.</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b/>
                                  <w:bCs/>
                                  <w:color w:val="000000"/>
                                  <w:sz w:val="17"/>
                                  <w:szCs w:val="17"/>
                                </w:rPr>
                                <w:t>Tree Analysis</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Roots: Causes of growth in the informal sector</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lastRenderedPageBreak/>
                                <w:t>National legal framework and enforcement (e.g., systemic obstacles that hinder civil society organizing)</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Gender (e.g., elimination of male “regulated” work, discounting of women in “informal” work, discrimination)</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Damage to / repression of worker representative structures (e.g., denial of right to negotiate)</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Effectiveness of national economic policymakers’ response to globalization (e.g., trade barriers, economic development)</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Personal choice (e.g., rational decision versus only available option)</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Education</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Lack of economic opportunities and outsourcing</w:t>
                              </w:r>
                            </w:p>
                            <w:p w:rsidR="00123941" w:rsidRPr="00123941" w:rsidRDefault="00123941" w:rsidP="00123941">
                              <w:pPr>
                                <w:numPr>
                                  <w:ilvl w:val="0"/>
                                  <w:numId w:val="1"/>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Other social factors (e.g., discrimination, lack of self-identity as “workers”)</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Trunk: Informal economy </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Branches: Economic sectors</w:t>
                              </w:r>
                            </w:p>
                            <w:p w:rsidR="00123941" w:rsidRPr="00123941" w:rsidRDefault="00123941" w:rsidP="00123941">
                              <w:pPr>
                                <w:numPr>
                                  <w:ilvl w:val="0"/>
                                  <w:numId w:val="2"/>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Formal sector outsourcing to unregulated work and the criminal sector</w:t>
                              </w:r>
                            </w:p>
                            <w:p w:rsidR="00123941" w:rsidRPr="00123941" w:rsidRDefault="00123941" w:rsidP="00123941">
                              <w:pPr>
                                <w:numPr>
                                  <w:ilvl w:val="0"/>
                                  <w:numId w:val="2"/>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Key sectors include: domestic and home-based work, commercial vending on the streets, waste, transport, construction, agriculture, fishing, small-scale and outsourced manufacturing, sex workers</w:t>
                              </w:r>
                            </w:p>
                            <w:p w:rsidR="00123941" w:rsidRPr="00123941" w:rsidRDefault="00123941" w:rsidP="00123941">
                              <w:pPr>
                                <w:numPr>
                                  <w:ilvl w:val="0"/>
                                  <w:numId w:val="2"/>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Concentration of economic power and unregulated supply chain outsourcing.</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Leaves: Less desirable outcomes</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Poverty trap</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Exploitation</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Inadequate health care</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Social consequences—childcare, education, etc.</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Reduced tax revenues—a vicious spiral ensues where the greater needs receive less funding</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Democratic exclusion</w:t>
                              </w:r>
                            </w:p>
                            <w:p w:rsidR="00123941" w:rsidRPr="00123941" w:rsidRDefault="00123941" w:rsidP="00123941">
                              <w:pPr>
                                <w:numPr>
                                  <w:ilvl w:val="0"/>
                                  <w:numId w:val="3"/>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Criminality</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Fruit: More desirable outcomes</w:t>
                              </w:r>
                            </w:p>
                            <w:p w:rsidR="00123941" w:rsidRPr="00123941" w:rsidRDefault="00123941" w:rsidP="00123941">
                              <w:pPr>
                                <w:numPr>
                                  <w:ilvl w:val="0"/>
                                  <w:numId w:val="4"/>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Development of previously ignored sectors</w:t>
                              </w:r>
                            </w:p>
                            <w:p w:rsidR="00123941" w:rsidRPr="00123941" w:rsidRDefault="00123941" w:rsidP="00123941">
                              <w:pPr>
                                <w:numPr>
                                  <w:ilvl w:val="0"/>
                                  <w:numId w:val="4"/>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Degree of economic flexibility</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Questions asked during the course of the discussion were:</w:t>
                              </w:r>
                            </w:p>
                            <w:p w:rsidR="00123941" w:rsidRPr="00123941" w:rsidRDefault="00123941" w:rsidP="00123941">
                              <w:pPr>
                                <w:numPr>
                                  <w:ilvl w:val="0"/>
                                  <w:numId w:val="5"/>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What is the purpose of globalization?</w:t>
                              </w:r>
                            </w:p>
                            <w:p w:rsidR="00123941" w:rsidRPr="00123941" w:rsidRDefault="00123941" w:rsidP="00123941">
                              <w:pPr>
                                <w:numPr>
                                  <w:ilvl w:val="0"/>
                                  <w:numId w:val="5"/>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What is the future of the state in the face of globalization?</w:t>
                              </w:r>
                            </w:p>
                            <w:p w:rsidR="00123941" w:rsidRPr="00123941" w:rsidRDefault="00123941" w:rsidP="00123941">
                              <w:pPr>
                                <w:numPr>
                                  <w:ilvl w:val="0"/>
                                  <w:numId w:val="5"/>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What is the role of the state in the informal economy, and how does it remain relevant as the economy is less and less regulated?</w:t>
                              </w:r>
                            </w:p>
                            <w:p w:rsidR="00123941" w:rsidRPr="00123941" w:rsidRDefault="00123941" w:rsidP="00123941">
                              <w:pPr>
                                <w:numPr>
                                  <w:ilvl w:val="0"/>
                                  <w:numId w:val="5"/>
                                </w:num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How does the labor movement remain relevant?</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Discussion participants noted the lack of democracy and accountability at the various levels of the tree diagram and emphasized the need to re-democratize every level of the economy. They noted the need to organize more workers and build union power to be able to demand accountability at all levels. With respect to the relevance of trade unions, some offered the perspective that unions need to recognize all workers as workers and avoid distinguishing between formal versus informal workers—although it was noted it may be too soon to eliminate the lines because of the reluctance of some unions to organize those at the end of the spectrum.</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t>One participant will return to Zimbabwe and emphasize the need for political education as part of the trade union training agenda with informal workers.</w:t>
                              </w:r>
                            </w:p>
                            <w:p w:rsidR="00123941" w:rsidRPr="00123941" w:rsidRDefault="00123941" w:rsidP="00123941">
                              <w:pPr>
                                <w:spacing w:before="100" w:beforeAutospacing="1" w:after="100" w:afterAutospacing="1" w:line="240" w:lineRule="atLeast"/>
                                <w:rPr>
                                  <w:rFonts w:ascii="Tahoma" w:eastAsia="Times New Roman" w:hAnsi="Tahoma" w:cs="Tahoma"/>
                                  <w:color w:val="000000"/>
                                  <w:sz w:val="17"/>
                                  <w:szCs w:val="17"/>
                                </w:rPr>
                              </w:pPr>
                              <w:r w:rsidRPr="00123941">
                                <w:rPr>
                                  <w:rFonts w:ascii="Tahoma" w:eastAsia="Times New Roman" w:hAnsi="Tahoma" w:cs="Tahoma"/>
                                  <w:color w:val="000000"/>
                                  <w:sz w:val="17"/>
                                  <w:szCs w:val="17"/>
                                </w:rPr>
                                <w:lastRenderedPageBreak/>
                                <w:t>Habib Rajeb made a presentation on the experience of the UGTT and the informal economy in Tunisia, pre- and post- revolution.  </w:t>
                              </w:r>
                            </w:p>
                          </w:tc>
                        </w:tr>
                        <w:tr w:rsidR="00123941" w:rsidRPr="00123941">
                          <w:trPr>
                            <w:tblCellSpacing w:w="0" w:type="dxa"/>
                          </w:trPr>
                          <w:tc>
                            <w:tcPr>
                              <w:tcW w:w="0" w:type="auto"/>
                              <w:hideMark/>
                            </w:tcPr>
                            <w:p w:rsidR="00123941" w:rsidRPr="00123941" w:rsidRDefault="00123941" w:rsidP="00123941">
                              <w:pPr>
                                <w:spacing w:line="240" w:lineRule="atLeast"/>
                                <w:rPr>
                                  <w:rFonts w:ascii="Tahoma" w:eastAsia="Times New Roman" w:hAnsi="Tahoma" w:cs="Tahoma"/>
                                  <w:color w:val="000000"/>
                                  <w:sz w:val="17"/>
                                  <w:szCs w:val="17"/>
                                </w:rPr>
                              </w:pPr>
                            </w:p>
                          </w:tc>
                        </w:tr>
                      </w:tbl>
                      <w:p w:rsidR="00123941" w:rsidRPr="00123941" w:rsidRDefault="00123941" w:rsidP="00123941">
                        <w:pPr>
                          <w:spacing w:line="240" w:lineRule="atLeast"/>
                          <w:rPr>
                            <w:rFonts w:ascii="Tahoma" w:eastAsia="Times New Roman" w:hAnsi="Tahoma" w:cs="Tahoma"/>
                            <w:color w:val="000000"/>
                            <w:sz w:val="17"/>
                            <w:szCs w:val="17"/>
                          </w:rPr>
                        </w:pPr>
                      </w:p>
                    </w:tc>
                    <w:tc>
                      <w:tcPr>
                        <w:tcW w:w="300" w:type="dxa"/>
                        <w:vAlign w:val="center"/>
                        <w:hideMark/>
                      </w:tcPr>
                      <w:p w:rsidR="00123941" w:rsidRPr="00123941" w:rsidRDefault="00123941" w:rsidP="00123941">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236220" cy="7620"/>
                              <wp:effectExtent l="0" t="0" r="0" b="0"/>
                              <wp:docPr id="2" name="Picture 2"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lidaritycenter.org/images/1px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 cy="7620"/>
                                      </a:xfrm>
                                      <a:prstGeom prst="rect">
                                        <a:avLst/>
                                      </a:prstGeom>
                                      <a:noFill/>
                                      <a:ln>
                                        <a:noFill/>
                                      </a:ln>
                                    </pic:spPr>
                                  </pic:pic>
                                </a:graphicData>
                              </a:graphic>
                            </wp:inline>
                          </w:drawing>
                        </w:r>
                      </w:p>
                    </w:tc>
                  </w:tr>
                </w:tbl>
                <w:p w:rsidR="00123941" w:rsidRPr="00123941" w:rsidRDefault="00123941" w:rsidP="00123941">
                  <w:pPr>
                    <w:spacing w:line="240" w:lineRule="atLeast"/>
                    <w:rPr>
                      <w:rFonts w:ascii="Tahoma" w:eastAsia="Times New Roman" w:hAnsi="Tahoma" w:cs="Tahoma"/>
                      <w:color w:val="000000"/>
                      <w:sz w:val="17"/>
                      <w:szCs w:val="17"/>
                    </w:rPr>
                  </w:pPr>
                </w:p>
              </w:tc>
            </w:tr>
          </w:tbl>
          <w:p w:rsidR="00123941" w:rsidRPr="00123941" w:rsidRDefault="00123941" w:rsidP="00123941">
            <w:pPr>
              <w:spacing w:line="240" w:lineRule="atLeast"/>
              <w:rPr>
                <w:rFonts w:ascii="Tahoma" w:eastAsia="Times New Roman" w:hAnsi="Tahoma" w:cs="Tahoma"/>
                <w:color w:val="000000"/>
                <w:sz w:val="17"/>
                <w:szCs w:val="17"/>
              </w:rPr>
            </w:pPr>
          </w:p>
        </w:tc>
      </w:tr>
      <w:tr w:rsidR="00123941" w:rsidRPr="00123941" w:rsidTr="00123941">
        <w:trPr>
          <w:tblCellSpacing w:w="0" w:type="dxa"/>
        </w:trPr>
        <w:tc>
          <w:tcPr>
            <w:tcW w:w="0" w:type="auto"/>
            <w:vAlign w:val="center"/>
            <w:hideMark/>
          </w:tcPr>
          <w:p w:rsidR="00123941" w:rsidRPr="00123941" w:rsidRDefault="00123941" w:rsidP="00123941">
            <w:pPr>
              <w:spacing w:line="240" w:lineRule="atLeast"/>
              <w:rPr>
                <w:rFonts w:ascii="Tahoma" w:eastAsia="Times New Roman" w:hAnsi="Tahoma" w:cs="Tahoma"/>
                <w:color w:val="000000"/>
                <w:sz w:val="17"/>
                <w:szCs w:val="17"/>
              </w:rPr>
            </w:pPr>
            <w:r>
              <w:rPr>
                <w:rFonts w:ascii="Tahoma" w:eastAsia="Times New Roman" w:hAnsi="Tahoma" w:cs="Tahoma"/>
                <w:noProof/>
                <w:color w:val="000000"/>
                <w:sz w:val="17"/>
                <w:szCs w:val="17"/>
              </w:rPr>
              <w:lastRenderedPageBreak/>
              <w:drawing>
                <wp:inline distT="0" distB="0" distL="0" distR="0">
                  <wp:extent cx="7620" cy="236220"/>
                  <wp:effectExtent l="0" t="0" r="0" b="0"/>
                  <wp:docPr id="1" name="Picture 1" descr="http://www.solidaritycenter.org/images/1px_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olidaritycenter.org/images/1px_spac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236220"/>
                          </a:xfrm>
                          <a:prstGeom prst="rect">
                            <a:avLst/>
                          </a:prstGeom>
                          <a:noFill/>
                          <a:ln>
                            <a:noFill/>
                          </a:ln>
                        </pic:spPr>
                      </pic:pic>
                    </a:graphicData>
                  </a:graphic>
                </wp:inline>
              </w:drawing>
            </w:r>
          </w:p>
        </w:tc>
      </w:tr>
    </w:tbl>
    <w:p w:rsidR="00954C62" w:rsidRDefault="00123941">
      <w:bookmarkStart w:id="0" w:name="_GoBack"/>
      <w:bookmarkEnd w:id="0"/>
    </w:p>
    <w:sectPr w:rsidR="00954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CE2"/>
    <w:multiLevelType w:val="multilevel"/>
    <w:tmpl w:val="D454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E2D64"/>
    <w:multiLevelType w:val="multilevel"/>
    <w:tmpl w:val="3706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F1B74"/>
    <w:multiLevelType w:val="multilevel"/>
    <w:tmpl w:val="B8A40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1D1112"/>
    <w:multiLevelType w:val="multilevel"/>
    <w:tmpl w:val="1172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1E3565"/>
    <w:multiLevelType w:val="multilevel"/>
    <w:tmpl w:val="3E38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941"/>
    <w:rsid w:val="00123941"/>
    <w:rsid w:val="0043348E"/>
    <w:rsid w:val="00B12232"/>
    <w:rsid w:val="00DE3BD4"/>
    <w:rsid w:val="00E416D4"/>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941"/>
    <w:rPr>
      <w:color w:val="0000FF"/>
      <w:u w:val="single"/>
    </w:rPr>
  </w:style>
  <w:style w:type="character" w:customStyle="1" w:styleId="apple-converted-space">
    <w:name w:val="apple-converted-space"/>
    <w:basedOn w:val="DefaultParagraphFont"/>
    <w:rsid w:val="00123941"/>
  </w:style>
  <w:style w:type="paragraph" w:styleId="NormalWeb">
    <w:name w:val="Normal (Web)"/>
    <w:basedOn w:val="Normal"/>
    <w:uiPriority w:val="99"/>
    <w:unhideWhenUsed/>
    <w:rsid w:val="00123941"/>
    <w:pPr>
      <w:spacing w:before="100" w:beforeAutospacing="1" w:after="100" w:afterAutospacing="1"/>
    </w:pPr>
    <w:rPr>
      <w:rFonts w:eastAsia="Times New Roman"/>
    </w:rPr>
  </w:style>
  <w:style w:type="character" w:customStyle="1" w:styleId="subheader2">
    <w:name w:val="sub_header2"/>
    <w:basedOn w:val="DefaultParagraphFont"/>
    <w:rsid w:val="00123941"/>
  </w:style>
  <w:style w:type="paragraph" w:styleId="BalloonText">
    <w:name w:val="Balloon Text"/>
    <w:basedOn w:val="Normal"/>
    <w:link w:val="BalloonTextChar"/>
    <w:uiPriority w:val="99"/>
    <w:semiHidden/>
    <w:unhideWhenUsed/>
    <w:rsid w:val="00123941"/>
    <w:rPr>
      <w:rFonts w:ascii="Tahoma" w:hAnsi="Tahoma" w:cs="Tahoma"/>
      <w:sz w:val="16"/>
      <w:szCs w:val="16"/>
    </w:rPr>
  </w:style>
  <w:style w:type="character" w:customStyle="1" w:styleId="BalloonTextChar">
    <w:name w:val="Balloon Text Char"/>
    <w:basedOn w:val="DefaultParagraphFont"/>
    <w:link w:val="BalloonText"/>
    <w:uiPriority w:val="99"/>
    <w:semiHidden/>
    <w:rsid w:val="001239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3941"/>
    <w:rPr>
      <w:color w:val="0000FF"/>
      <w:u w:val="single"/>
    </w:rPr>
  </w:style>
  <w:style w:type="character" w:customStyle="1" w:styleId="apple-converted-space">
    <w:name w:val="apple-converted-space"/>
    <w:basedOn w:val="DefaultParagraphFont"/>
    <w:rsid w:val="00123941"/>
  </w:style>
  <w:style w:type="paragraph" w:styleId="NormalWeb">
    <w:name w:val="Normal (Web)"/>
    <w:basedOn w:val="Normal"/>
    <w:uiPriority w:val="99"/>
    <w:unhideWhenUsed/>
    <w:rsid w:val="00123941"/>
    <w:pPr>
      <w:spacing w:before="100" w:beforeAutospacing="1" w:after="100" w:afterAutospacing="1"/>
    </w:pPr>
    <w:rPr>
      <w:rFonts w:eastAsia="Times New Roman"/>
    </w:rPr>
  </w:style>
  <w:style w:type="character" w:customStyle="1" w:styleId="subheader2">
    <w:name w:val="sub_header2"/>
    <w:basedOn w:val="DefaultParagraphFont"/>
    <w:rsid w:val="00123941"/>
  </w:style>
  <w:style w:type="paragraph" w:styleId="BalloonText">
    <w:name w:val="Balloon Text"/>
    <w:basedOn w:val="Normal"/>
    <w:link w:val="BalloonTextChar"/>
    <w:uiPriority w:val="99"/>
    <w:semiHidden/>
    <w:unhideWhenUsed/>
    <w:rsid w:val="00123941"/>
    <w:rPr>
      <w:rFonts w:ascii="Tahoma" w:hAnsi="Tahoma" w:cs="Tahoma"/>
      <w:sz w:val="16"/>
      <w:szCs w:val="16"/>
    </w:rPr>
  </w:style>
  <w:style w:type="character" w:customStyle="1" w:styleId="BalloonTextChar">
    <w:name w:val="Balloon Text Char"/>
    <w:basedOn w:val="DefaultParagraphFont"/>
    <w:link w:val="BalloonText"/>
    <w:uiPriority w:val="99"/>
    <w:semiHidden/>
    <w:rsid w:val="001239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634635">
      <w:bodyDiv w:val="1"/>
      <w:marLeft w:val="0"/>
      <w:marRight w:val="0"/>
      <w:marTop w:val="0"/>
      <w:marBottom w:val="0"/>
      <w:divBdr>
        <w:top w:val="none" w:sz="0" w:space="0" w:color="auto"/>
        <w:left w:val="none" w:sz="0" w:space="0" w:color="auto"/>
        <w:bottom w:val="none" w:sz="0" w:space="0" w:color="auto"/>
        <w:right w:val="none" w:sz="0" w:space="0" w:color="auto"/>
      </w:divBdr>
      <w:divsChild>
        <w:div w:id="1468355635">
          <w:marLeft w:val="0"/>
          <w:marRight w:val="0"/>
          <w:marTop w:val="0"/>
          <w:marBottom w:val="0"/>
          <w:divBdr>
            <w:top w:val="none" w:sz="0" w:space="0" w:color="auto"/>
            <w:left w:val="none" w:sz="0" w:space="0" w:color="auto"/>
            <w:bottom w:val="none" w:sz="0" w:space="0" w:color="auto"/>
            <w:right w:val="none" w:sz="0" w:space="0" w:color="auto"/>
          </w:divBdr>
          <w:divsChild>
            <w:div w:id="39678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aritycenter.org/content.asp?contentid=136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lidaritycenter.org/content.asp?contentid=1329"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lidaritycenter.org/index.asp" TargetMode="External"/><Relationship Id="rId11" Type="http://schemas.openxmlformats.org/officeDocument/2006/relationships/hyperlink" Target="http://www.solidaritycenter.org/EmailToFriend.asp?contentid=1404&amp;title=Politics%20of%20Informality%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20&amp;sendemail=1" TargetMode="External"/><Relationship Id="rId5" Type="http://schemas.openxmlformats.org/officeDocument/2006/relationships/webSettings" Target="webSettings.xml"/><Relationship Id="rId10" Type="http://schemas.openxmlformats.org/officeDocument/2006/relationships/hyperlink" Target="javascript:PrintThisPage();"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Solidarity Center</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Tula Connell</dc:creator>
  <cp:lastModifiedBy>Tula Connell</cp:lastModifiedBy>
  <cp:revision>1</cp:revision>
  <dcterms:created xsi:type="dcterms:W3CDTF">2013-07-02T17:29:00Z</dcterms:created>
  <dcterms:modified xsi:type="dcterms:W3CDTF">2013-07-02T17:31:00Z</dcterms:modified>
</cp:coreProperties>
</file>